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0D7B4" w14:textId="26CC1CCD" w:rsidR="00E01AE5" w:rsidRPr="00E01AE5" w:rsidRDefault="00E01AE5" w:rsidP="00E01AE5">
      <w:pPr>
        <w:pStyle w:val="a4"/>
        <w:tabs>
          <w:tab w:val="left" w:pos="8205"/>
        </w:tabs>
        <w:spacing w:after="100" w:afterAutospacing="1"/>
        <w:jc w:val="both"/>
        <w:rPr>
          <w:i/>
          <w:sz w:val="24"/>
          <w:lang w:eastAsia="en-US"/>
        </w:rPr>
      </w:pPr>
      <w:bookmarkStart w:id="0" w:name="_Hlk178255763"/>
      <w:bookmarkStart w:id="1" w:name="_Toc193024528"/>
      <w:r w:rsidRPr="00E01AE5">
        <w:rPr>
          <w:sz w:val="24"/>
          <w:lang w:eastAsia="en-US"/>
        </w:rPr>
        <w:t>3GPP TSG-RAN WG2 Meeting #127</w:t>
      </w:r>
      <w:r w:rsidRPr="00E01AE5">
        <w:rPr>
          <w:rFonts w:hint="eastAsia"/>
          <w:sz w:val="24"/>
          <w:lang w:eastAsia="en-US"/>
        </w:rPr>
        <w:t>-bis</w:t>
      </w:r>
      <w:r w:rsidRPr="00E01AE5">
        <w:rPr>
          <w:i/>
          <w:sz w:val="24"/>
          <w:lang w:eastAsia="en-US"/>
        </w:rPr>
        <w:tab/>
        <w:t>R2-240</w:t>
      </w:r>
      <w:r w:rsidR="00017AD2">
        <w:rPr>
          <w:i/>
          <w:sz w:val="24"/>
          <w:lang w:eastAsia="en-US"/>
        </w:rPr>
        <w:t>8473</w:t>
      </w:r>
    </w:p>
    <w:p w14:paraId="025FFB7F" w14:textId="7D71968D" w:rsidR="00E01AE5" w:rsidRPr="00E01AE5" w:rsidRDefault="00E01AE5" w:rsidP="00E01AE5">
      <w:pPr>
        <w:pStyle w:val="a4"/>
        <w:tabs>
          <w:tab w:val="left" w:pos="6521"/>
        </w:tabs>
        <w:spacing w:after="100" w:afterAutospacing="1"/>
        <w:jc w:val="both"/>
        <w:rPr>
          <w:sz w:val="24"/>
          <w:lang w:eastAsia="en-US"/>
        </w:rPr>
      </w:pPr>
      <w:r w:rsidRPr="00E01AE5">
        <w:rPr>
          <w:sz w:val="24"/>
          <w:lang w:eastAsia="en-US"/>
        </w:rPr>
        <w:fldChar w:fldCharType="begin"/>
      </w:r>
      <w:r w:rsidRPr="00E01AE5">
        <w:rPr>
          <w:sz w:val="24"/>
          <w:lang w:eastAsia="en-US"/>
        </w:rPr>
        <w:instrText xml:space="preserve"> DOCPROPERTY  Location  \* MERGEFORMAT </w:instrText>
      </w:r>
      <w:r w:rsidRPr="00E01AE5">
        <w:rPr>
          <w:sz w:val="24"/>
          <w:lang w:eastAsia="en-US"/>
        </w:rPr>
        <w:fldChar w:fldCharType="separate"/>
      </w:r>
      <w:r w:rsidRPr="00E01AE5">
        <w:rPr>
          <w:sz w:val="24"/>
          <w:lang w:eastAsia="en-US"/>
        </w:rPr>
        <w:t>Hefei, China, Oct 14</w:t>
      </w:r>
      <w:r w:rsidRPr="00E01AE5">
        <w:rPr>
          <w:sz w:val="24"/>
          <w:vertAlign w:val="superscript"/>
          <w:lang w:eastAsia="en-US"/>
        </w:rPr>
        <w:t>th</w:t>
      </w:r>
      <w:r w:rsidRPr="00E01AE5">
        <w:rPr>
          <w:sz w:val="24"/>
          <w:lang w:eastAsia="en-US"/>
        </w:rPr>
        <w:t xml:space="preserve"> – 18</w:t>
      </w:r>
      <w:r w:rsidRPr="00E01AE5">
        <w:rPr>
          <w:sz w:val="24"/>
          <w:vertAlign w:val="superscript"/>
          <w:lang w:eastAsia="en-US"/>
        </w:rPr>
        <w:t>th</w:t>
      </w:r>
      <w:r w:rsidRPr="00E01AE5">
        <w:rPr>
          <w:sz w:val="24"/>
          <w:lang w:eastAsia="en-US"/>
        </w:rPr>
        <w:t>, 2024</w:t>
      </w:r>
      <w:r w:rsidRPr="00E01AE5">
        <w:rPr>
          <w:sz w:val="24"/>
          <w:lang w:eastAsia="en-US"/>
        </w:rPr>
        <w:fldChar w:fldCharType="end"/>
      </w:r>
      <w:r>
        <w:rPr>
          <w:sz w:val="24"/>
          <w:lang w:eastAsia="en-US"/>
        </w:rPr>
        <w:t xml:space="preserve">                                      </w:t>
      </w:r>
      <w:r w:rsidR="007A7ADE">
        <w:rPr>
          <w:i/>
          <w:sz w:val="24"/>
          <w:lang w:eastAsia="en-US"/>
        </w:rPr>
        <w:t xml:space="preserve">                                               </w:t>
      </w:r>
    </w:p>
    <w:bookmarkEnd w:id="0"/>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117A3125"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717D1F" w:rsidRPr="00717D1F">
        <w:rPr>
          <w:rFonts w:ascii="Arial" w:hAnsi="Arial"/>
          <w:b/>
          <w:sz w:val="24"/>
          <w:lang w:val="fr-CA"/>
        </w:rPr>
        <w:t>7.2</w:t>
      </w:r>
      <w:r w:rsidR="00787733">
        <w:rPr>
          <w:rFonts w:ascii="Arial" w:hAnsi="Arial"/>
          <w:b/>
          <w:sz w:val="24"/>
          <w:lang w:val="fr-CA"/>
        </w:rPr>
        <w:t>4.1</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A071BF6"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406CD9">
        <w:rPr>
          <w:rFonts w:ascii="Arial" w:hAnsi="Arial"/>
          <w:b/>
          <w:sz w:val="24"/>
        </w:rPr>
        <w:t xml:space="preserve">Discussion on </w:t>
      </w:r>
      <w:r w:rsidR="002F21C0">
        <w:rPr>
          <w:rFonts w:ascii="Arial" w:hAnsi="Arial"/>
          <w:b/>
          <w:sz w:val="24"/>
        </w:rPr>
        <w:t>intra-band EN-DC channel spacing</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1"/>
    <w:p w14:paraId="36744083" w14:textId="77777777" w:rsidR="004234EA" w:rsidRPr="00224CEF" w:rsidRDefault="00585087" w:rsidP="00E16DC8">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416866D" w14:textId="5302B235" w:rsidR="005647B4" w:rsidRPr="000D3350" w:rsidRDefault="002F21C0" w:rsidP="002D7A86">
      <w:r>
        <w:t>RAN2 received a LS</w:t>
      </w:r>
      <w:r w:rsidR="000D3350">
        <w:t xml:space="preserve"> [1]</w:t>
      </w:r>
      <w:r>
        <w:t xml:space="preserve"> from RAN4</w:t>
      </w:r>
      <w:r w:rsidR="000D3350">
        <w:t xml:space="preserve"> on intra-band EN-DC</w:t>
      </w:r>
      <w:r w:rsidR="002D7A86">
        <w:t>.</w:t>
      </w:r>
      <w:r w:rsidR="000D3350">
        <w:rPr>
          <w:rFonts w:hint="eastAsia"/>
        </w:rPr>
        <w:t xml:space="preserve"> </w:t>
      </w:r>
      <w:r w:rsidR="002D7A86">
        <w:rPr>
          <w:rFonts w:hint="eastAsia"/>
        </w:rPr>
        <w:t>I</w:t>
      </w:r>
      <w:r w:rsidR="00E20A29">
        <w:t>n this contribution</w:t>
      </w:r>
      <w:r w:rsidR="002D7A86">
        <w:t>, we disc</w:t>
      </w:r>
      <w:r w:rsidR="00E20A29">
        <w:t xml:space="preserve">uss </w:t>
      </w:r>
      <w:r w:rsidR="00126B78">
        <w:rPr>
          <w:rFonts w:hint="eastAsia"/>
        </w:rPr>
        <w:t>about</w:t>
      </w:r>
      <w:r w:rsidR="00126B78">
        <w:t xml:space="preserve"> the intra-band EN-DC channel spacing issue</w:t>
      </w:r>
      <w:r w:rsidR="000D3350">
        <w:t xml:space="preserve"> according to RAN4 LS</w:t>
      </w:r>
      <w:r w:rsidR="002D7A86">
        <w:t>.</w:t>
      </w:r>
    </w:p>
    <w:p w14:paraId="3FC2A83F" w14:textId="30C8B144" w:rsidR="000B1B5F" w:rsidRDefault="00585087" w:rsidP="005338DD">
      <w:pPr>
        <w:pStyle w:val="1"/>
        <w:spacing w:before="100" w:beforeAutospacing="1" w:after="100" w:afterAutospacing="1"/>
        <w:ind w:left="0" w:firstLine="0"/>
        <w:jc w:val="both"/>
      </w:pPr>
      <w:r>
        <w:t xml:space="preserve">2. </w:t>
      </w:r>
      <w:bookmarkStart w:id="2" w:name="OLE_LINK1"/>
      <w:bookmarkStart w:id="3" w:name="OLE_LINK2"/>
      <w:r w:rsidR="00EF2EEF">
        <w:t>D</w:t>
      </w:r>
      <w:r w:rsidR="000B1B5F">
        <w:t>iscussion</w:t>
      </w:r>
    </w:p>
    <w:p w14:paraId="5314A302" w14:textId="77777777" w:rsidR="00E20A29" w:rsidRPr="00E20A29" w:rsidRDefault="00E20A29" w:rsidP="00E20A29">
      <w:pPr>
        <w:pStyle w:val="af2"/>
        <w:keepNext/>
        <w:keepLines/>
        <w:numPr>
          <w:ilvl w:val="0"/>
          <w:numId w:val="48"/>
        </w:numPr>
        <w:spacing w:before="180" w:after="180"/>
        <w:jc w:val="left"/>
        <w:outlineLvl w:val="1"/>
        <w:rPr>
          <w:rFonts w:ascii="Arial" w:hAnsi="Arial" w:cs="Times New Roman"/>
          <w:vanish/>
          <w:sz w:val="32"/>
          <w:szCs w:val="20"/>
          <w:lang w:val="en-GB"/>
        </w:rPr>
      </w:pPr>
    </w:p>
    <w:p w14:paraId="75DF0371" w14:textId="77777777" w:rsidR="00E20A29" w:rsidRPr="00E20A29" w:rsidRDefault="00E20A29" w:rsidP="00E20A29">
      <w:pPr>
        <w:pStyle w:val="af2"/>
        <w:keepNext/>
        <w:keepLines/>
        <w:numPr>
          <w:ilvl w:val="0"/>
          <w:numId w:val="48"/>
        </w:numPr>
        <w:spacing w:before="180" w:after="180"/>
        <w:jc w:val="left"/>
        <w:outlineLvl w:val="1"/>
        <w:rPr>
          <w:rFonts w:ascii="Arial" w:hAnsi="Arial" w:cs="Times New Roman"/>
          <w:vanish/>
          <w:sz w:val="32"/>
          <w:szCs w:val="20"/>
          <w:lang w:val="en-GB"/>
        </w:rPr>
      </w:pPr>
    </w:p>
    <w:p w14:paraId="621F3B0A" w14:textId="5730D250" w:rsidR="00ED2D7A" w:rsidRDefault="000D3350" w:rsidP="005338DD">
      <w:r>
        <w:t xml:space="preserve">According to current TS 38.306, the contiguity capability for intra-band EN-DC </w:t>
      </w:r>
      <w:r w:rsidR="00815300">
        <w:t xml:space="preserve">can be </w:t>
      </w:r>
      <w:r>
        <w:t xml:space="preserve">indicated through </w:t>
      </w:r>
      <w:r w:rsidRPr="000D3350">
        <w:rPr>
          <w:i/>
        </w:rPr>
        <w:t>intraBandENDC-Support</w:t>
      </w:r>
      <w:r>
        <w:t xml:space="preserve">. The UE can indicate either contiguous (i.e. through absence of the field), non-contiguous, or both contiguous and non-contiguous </w:t>
      </w:r>
      <w:r w:rsidR="00B175D5">
        <w:t xml:space="preserve">capability </w:t>
      </w:r>
      <w:r>
        <w:t xml:space="preserve">for </w:t>
      </w:r>
      <w:r w:rsidR="00B175D5">
        <w:t>one</w:t>
      </w:r>
      <w:r>
        <w:t xml:space="preserve"> (NG)EN-DC combination. </w:t>
      </w:r>
      <w:r w:rsidR="00B175D5">
        <w:t>In 38.331, t</w:t>
      </w:r>
      <w:r>
        <w:t xml:space="preserve">here are separate bits defined for “non-contiguous” and “both”. </w:t>
      </w:r>
      <w:r w:rsidR="00B175D5">
        <w:t xml:space="preserve">In other words, the UE </w:t>
      </w:r>
      <w:r w:rsidR="00722A47">
        <w:t xml:space="preserve">is able to </w:t>
      </w:r>
      <w:r w:rsidR="00B175D5">
        <w:t xml:space="preserve">declare support of </w:t>
      </w:r>
      <w:r w:rsidR="00722A47">
        <w:t xml:space="preserve">either one of </w:t>
      </w:r>
      <w:r w:rsidR="00B175D5">
        <w:t>these two capabilities separately.</w:t>
      </w:r>
    </w:p>
    <w:p w14:paraId="3F7B6E1E" w14:textId="77777777" w:rsidR="00B175D5" w:rsidRDefault="00B175D5" w:rsidP="00B175D5">
      <w:pPr>
        <w:pStyle w:val="PL"/>
        <w:rPr>
          <w:lang w:val="en-GB"/>
        </w:rPr>
      </w:pPr>
      <w:r>
        <w:t xml:space="preserve">MRDC-Parameters ::= </w:t>
      </w:r>
      <w:r>
        <w:rPr>
          <w:color w:val="993366"/>
        </w:rPr>
        <w:t>SEQUENCE</w:t>
      </w:r>
      <w:r>
        <w:t xml:space="preserve"> {</w:t>
      </w:r>
    </w:p>
    <w:p w14:paraId="7D3C4AEA" w14:textId="77777777" w:rsidR="00B175D5" w:rsidRDefault="00B175D5" w:rsidP="00B175D5">
      <w:pPr>
        <w:pStyle w:val="PL"/>
      </w:pPr>
      <w:r>
        <w:t xml:space="preserve">    singleUL-Transmission               </w:t>
      </w:r>
      <w:r>
        <w:rPr>
          <w:color w:val="993366"/>
        </w:rPr>
        <w:t>ENUMERATED</w:t>
      </w:r>
      <w:r>
        <w:t xml:space="preserve"> {supported}              </w:t>
      </w:r>
      <w:r>
        <w:rPr>
          <w:color w:val="993366"/>
        </w:rPr>
        <w:t>OPTIONAL</w:t>
      </w:r>
      <w:r>
        <w:t>,</w:t>
      </w:r>
    </w:p>
    <w:p w14:paraId="0D12E0EE" w14:textId="77777777" w:rsidR="00B175D5" w:rsidRDefault="00B175D5" w:rsidP="00B175D5">
      <w:pPr>
        <w:pStyle w:val="PL"/>
      </w:pPr>
      <w:r>
        <w:t xml:space="preserve">    dynamicPowerSharingENDC             </w:t>
      </w:r>
      <w:r>
        <w:rPr>
          <w:color w:val="993366"/>
        </w:rPr>
        <w:t>ENUMERATED</w:t>
      </w:r>
      <w:r>
        <w:t xml:space="preserve"> {supported}              </w:t>
      </w:r>
      <w:r>
        <w:rPr>
          <w:color w:val="993366"/>
        </w:rPr>
        <w:t>OPTIONAL</w:t>
      </w:r>
      <w:r>
        <w:t>,</w:t>
      </w:r>
    </w:p>
    <w:p w14:paraId="284BCFEC" w14:textId="77777777" w:rsidR="00B175D5" w:rsidRDefault="00B175D5" w:rsidP="00B175D5">
      <w:pPr>
        <w:pStyle w:val="PL"/>
      </w:pPr>
      <w:r>
        <w:t xml:space="preserve">    tdm-Pattern                         </w:t>
      </w:r>
      <w:r>
        <w:rPr>
          <w:color w:val="993366"/>
        </w:rPr>
        <w:t>ENUMERATED</w:t>
      </w:r>
      <w:r>
        <w:t xml:space="preserve"> {supported}              </w:t>
      </w:r>
      <w:r>
        <w:rPr>
          <w:color w:val="993366"/>
        </w:rPr>
        <w:t>OPTIONAL</w:t>
      </w:r>
      <w:r>
        <w:t>,</w:t>
      </w:r>
    </w:p>
    <w:p w14:paraId="7F7452D1" w14:textId="77777777" w:rsidR="00B175D5" w:rsidRDefault="00B175D5" w:rsidP="00B175D5">
      <w:pPr>
        <w:pStyle w:val="PL"/>
      </w:pPr>
      <w:r>
        <w:t xml:space="preserve">    ul-SharingEUTRA-NR                  </w:t>
      </w:r>
      <w:r>
        <w:rPr>
          <w:color w:val="993366"/>
        </w:rPr>
        <w:t>ENUMERATED</w:t>
      </w:r>
      <w:r>
        <w:t xml:space="preserve"> {tdm, fdm, both}         </w:t>
      </w:r>
      <w:r>
        <w:rPr>
          <w:color w:val="993366"/>
        </w:rPr>
        <w:t>OPTIONAL</w:t>
      </w:r>
      <w:r>
        <w:t>,</w:t>
      </w:r>
    </w:p>
    <w:p w14:paraId="2C9A2412" w14:textId="77777777" w:rsidR="00B175D5" w:rsidRDefault="00B175D5" w:rsidP="00B175D5">
      <w:pPr>
        <w:pStyle w:val="PL"/>
      </w:pPr>
      <w:r>
        <w:t xml:space="preserve">    ul-SwitchingTimeEUTRA-NR            </w:t>
      </w:r>
      <w:r>
        <w:rPr>
          <w:color w:val="993366"/>
        </w:rPr>
        <w:t>ENUMERATED</w:t>
      </w:r>
      <w:r>
        <w:t xml:space="preserve"> {type1, type2}           </w:t>
      </w:r>
      <w:r>
        <w:rPr>
          <w:color w:val="993366"/>
        </w:rPr>
        <w:t>OPTIONAL</w:t>
      </w:r>
      <w:r>
        <w:t>,</w:t>
      </w:r>
    </w:p>
    <w:p w14:paraId="3066A207" w14:textId="77777777" w:rsidR="00B175D5" w:rsidRDefault="00B175D5" w:rsidP="00B175D5">
      <w:pPr>
        <w:pStyle w:val="PL"/>
      </w:pPr>
      <w:r>
        <w:t xml:space="preserve">    simultaneousRxTxInterBandENDC       </w:t>
      </w:r>
      <w:r>
        <w:rPr>
          <w:color w:val="993366"/>
        </w:rPr>
        <w:t>ENUMERATED</w:t>
      </w:r>
      <w:r>
        <w:t xml:space="preserve"> {supported}              </w:t>
      </w:r>
      <w:r>
        <w:rPr>
          <w:color w:val="993366"/>
        </w:rPr>
        <w:t>OPTIONAL</w:t>
      </w:r>
      <w:r>
        <w:t>,</w:t>
      </w:r>
    </w:p>
    <w:p w14:paraId="6C62B810" w14:textId="77777777" w:rsidR="00B175D5" w:rsidRDefault="00B175D5" w:rsidP="00B175D5">
      <w:pPr>
        <w:pStyle w:val="PL"/>
      </w:pPr>
      <w:r>
        <w:t xml:space="preserve">    asyncIntraBandENDC                  </w:t>
      </w:r>
      <w:r>
        <w:rPr>
          <w:color w:val="993366"/>
        </w:rPr>
        <w:t>ENUMERATED</w:t>
      </w:r>
      <w:r>
        <w:t xml:space="preserve"> {supported}              </w:t>
      </w:r>
      <w:r>
        <w:rPr>
          <w:color w:val="993366"/>
        </w:rPr>
        <w:t>OPTIONAL</w:t>
      </w:r>
      <w:r>
        <w:t>,</w:t>
      </w:r>
    </w:p>
    <w:p w14:paraId="223C2FA1" w14:textId="77777777" w:rsidR="00B175D5" w:rsidRDefault="00B175D5" w:rsidP="00B175D5">
      <w:pPr>
        <w:pStyle w:val="PL"/>
      </w:pPr>
      <w:r>
        <w:t xml:space="preserve">    ...,</w:t>
      </w:r>
    </w:p>
    <w:p w14:paraId="79FC0A07" w14:textId="77777777" w:rsidR="00B175D5" w:rsidRDefault="00B175D5" w:rsidP="00B175D5">
      <w:pPr>
        <w:pStyle w:val="PL"/>
      </w:pPr>
      <w:r>
        <w:t xml:space="preserve">    [[</w:t>
      </w:r>
    </w:p>
    <w:p w14:paraId="5519A6E0" w14:textId="77777777" w:rsidR="00B175D5" w:rsidRDefault="00B175D5" w:rsidP="00B175D5">
      <w:pPr>
        <w:pStyle w:val="PL"/>
      </w:pPr>
      <w:r>
        <w:t xml:space="preserve">    dualPA-Architecture                 </w:t>
      </w:r>
      <w:r>
        <w:rPr>
          <w:color w:val="993366"/>
        </w:rPr>
        <w:t>ENUMERATED</w:t>
      </w:r>
      <w:r>
        <w:t xml:space="preserve"> {supported}              </w:t>
      </w:r>
      <w:r>
        <w:rPr>
          <w:color w:val="993366"/>
        </w:rPr>
        <w:t>OPTIONAL</w:t>
      </w:r>
      <w:r>
        <w:t>,</w:t>
      </w:r>
    </w:p>
    <w:p w14:paraId="5423D4C9" w14:textId="77777777" w:rsidR="00B175D5" w:rsidRDefault="00B175D5" w:rsidP="00B175D5">
      <w:pPr>
        <w:pStyle w:val="PL"/>
      </w:pPr>
      <w:r>
        <w:t xml:space="preserve">    </w:t>
      </w:r>
      <w:r w:rsidRPr="00B175D5">
        <w:rPr>
          <w:highlight w:val="yellow"/>
        </w:rPr>
        <w:t xml:space="preserve">intraBandENDC-Support               </w:t>
      </w:r>
      <w:r w:rsidRPr="00B175D5">
        <w:rPr>
          <w:color w:val="993366"/>
          <w:highlight w:val="yellow"/>
        </w:rPr>
        <w:t>ENUMERATED</w:t>
      </w:r>
      <w:r w:rsidRPr="00B175D5">
        <w:rPr>
          <w:highlight w:val="yellow"/>
        </w:rPr>
        <w:t xml:space="preserve"> {non-contiguous, both}   </w:t>
      </w:r>
      <w:r w:rsidRPr="00B175D5">
        <w:rPr>
          <w:color w:val="993366"/>
          <w:highlight w:val="yellow"/>
        </w:rPr>
        <w:t>OPTIONAL</w:t>
      </w:r>
      <w:r w:rsidRPr="00B175D5">
        <w:rPr>
          <w:highlight w:val="yellow"/>
        </w:rPr>
        <w:t>,</w:t>
      </w:r>
    </w:p>
    <w:p w14:paraId="7DA7150F" w14:textId="77777777" w:rsidR="00B175D5" w:rsidRDefault="00B175D5" w:rsidP="00B175D5">
      <w:pPr>
        <w:pStyle w:val="PL"/>
      </w:pPr>
      <w:r>
        <w:t xml:space="preserve">    ul-TimingAlignmentEUTRA-NR          </w:t>
      </w:r>
      <w:r>
        <w:rPr>
          <w:color w:val="993366"/>
        </w:rPr>
        <w:t>ENUMERATED</w:t>
      </w:r>
      <w:r>
        <w:t xml:space="preserve"> {required}               </w:t>
      </w:r>
      <w:r>
        <w:rPr>
          <w:color w:val="993366"/>
        </w:rPr>
        <w:t>OPTIONAL</w:t>
      </w:r>
    </w:p>
    <w:p w14:paraId="0DDFCBD3" w14:textId="77777777" w:rsidR="00B175D5" w:rsidRDefault="00B175D5" w:rsidP="00B175D5">
      <w:pPr>
        <w:pStyle w:val="PL"/>
      </w:pPr>
      <w:r>
        <w:t xml:space="preserve">    ]]</w:t>
      </w:r>
    </w:p>
    <w:p w14:paraId="2EF20580" w14:textId="78A114E2" w:rsidR="00B175D5" w:rsidRDefault="00B175D5" w:rsidP="00722A47">
      <w:pPr>
        <w:pStyle w:val="PL"/>
      </w:pPr>
      <w: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6"/>
        <w:gridCol w:w="709"/>
        <w:gridCol w:w="728"/>
      </w:tblGrid>
      <w:tr w:rsidR="000D3350" w:rsidRPr="00936461" w14:paraId="7E40A6ED" w14:textId="77777777" w:rsidTr="00983C6D">
        <w:trPr>
          <w:cantSplit/>
          <w:tblHeader/>
        </w:trPr>
        <w:tc>
          <w:tcPr>
            <w:tcW w:w="3592" w:type="pct"/>
          </w:tcPr>
          <w:p w14:paraId="237BE331" w14:textId="77777777" w:rsidR="000D3350" w:rsidRPr="00936461" w:rsidRDefault="000D3350" w:rsidP="00983C6D">
            <w:pPr>
              <w:pStyle w:val="TAH"/>
            </w:pPr>
            <w:r w:rsidRPr="00936461">
              <w:t>Definitions for parameters</w:t>
            </w:r>
          </w:p>
        </w:tc>
        <w:tc>
          <w:tcPr>
            <w:tcW w:w="368" w:type="pct"/>
          </w:tcPr>
          <w:p w14:paraId="62C79C5A" w14:textId="77777777" w:rsidR="000D3350" w:rsidRPr="00936461" w:rsidRDefault="000D3350" w:rsidP="00983C6D">
            <w:pPr>
              <w:pStyle w:val="TAH"/>
            </w:pPr>
            <w:r w:rsidRPr="00936461">
              <w:t>Per</w:t>
            </w:r>
          </w:p>
        </w:tc>
        <w:tc>
          <w:tcPr>
            <w:tcW w:w="294" w:type="pct"/>
          </w:tcPr>
          <w:p w14:paraId="1EC60276" w14:textId="77777777" w:rsidR="000D3350" w:rsidRPr="00936461" w:rsidRDefault="000D3350" w:rsidP="00983C6D">
            <w:pPr>
              <w:pStyle w:val="TAH"/>
            </w:pPr>
            <w:r w:rsidRPr="00936461">
              <w:t>M</w:t>
            </w:r>
          </w:p>
        </w:tc>
        <w:tc>
          <w:tcPr>
            <w:tcW w:w="368" w:type="pct"/>
          </w:tcPr>
          <w:p w14:paraId="2D593392" w14:textId="77777777" w:rsidR="000D3350" w:rsidRPr="00936461" w:rsidRDefault="000D3350" w:rsidP="00983C6D">
            <w:pPr>
              <w:pStyle w:val="TAH"/>
            </w:pPr>
            <w:r w:rsidRPr="00936461">
              <w:t>FDD-TDD</w:t>
            </w:r>
          </w:p>
          <w:p w14:paraId="521C458C" w14:textId="77777777" w:rsidR="000D3350" w:rsidRPr="00936461" w:rsidRDefault="000D3350" w:rsidP="00983C6D">
            <w:pPr>
              <w:pStyle w:val="TAH"/>
            </w:pPr>
            <w:r w:rsidRPr="00936461">
              <w:t>DIFF</w:t>
            </w:r>
          </w:p>
        </w:tc>
        <w:tc>
          <w:tcPr>
            <w:tcW w:w="378" w:type="pct"/>
          </w:tcPr>
          <w:p w14:paraId="21A50013" w14:textId="77777777" w:rsidR="000D3350" w:rsidRPr="00936461" w:rsidRDefault="000D3350" w:rsidP="00983C6D">
            <w:pPr>
              <w:pStyle w:val="TAH"/>
            </w:pPr>
            <w:r w:rsidRPr="00936461">
              <w:t>FR1-FR2</w:t>
            </w:r>
          </w:p>
          <w:p w14:paraId="5200A82D" w14:textId="77777777" w:rsidR="000D3350" w:rsidRPr="00936461" w:rsidRDefault="000D3350" w:rsidP="00983C6D">
            <w:pPr>
              <w:pStyle w:val="TAH"/>
            </w:pPr>
            <w:r w:rsidRPr="00936461">
              <w:t>DIFF</w:t>
            </w:r>
          </w:p>
        </w:tc>
      </w:tr>
      <w:tr w:rsidR="000D3350" w:rsidRPr="00936461" w14:paraId="041EEEE7" w14:textId="77777777" w:rsidTr="00983C6D">
        <w:trPr>
          <w:cantSplit/>
          <w:tblHeader/>
        </w:trPr>
        <w:tc>
          <w:tcPr>
            <w:tcW w:w="3592" w:type="pct"/>
          </w:tcPr>
          <w:p w14:paraId="1150D779" w14:textId="77777777" w:rsidR="000D3350" w:rsidRPr="00936461" w:rsidRDefault="000D3350" w:rsidP="00983C6D">
            <w:pPr>
              <w:pStyle w:val="TAL"/>
              <w:rPr>
                <w:b/>
                <w:bCs/>
                <w:i/>
                <w:iCs/>
              </w:rPr>
            </w:pPr>
            <w:r w:rsidRPr="00936461">
              <w:rPr>
                <w:b/>
                <w:bCs/>
                <w:i/>
                <w:iCs/>
              </w:rPr>
              <w:t>intraBandENDC-Support</w:t>
            </w:r>
          </w:p>
          <w:p w14:paraId="6566FCB8" w14:textId="77777777" w:rsidR="000D3350" w:rsidRPr="00936461" w:rsidRDefault="000D3350" w:rsidP="00983C6D">
            <w:pPr>
              <w:pStyle w:val="TAL"/>
              <w:rPr>
                <w:bCs/>
                <w:iCs/>
              </w:rPr>
            </w:pPr>
            <w:r w:rsidRPr="00936461">
              <w:rPr>
                <w:bCs/>
                <w:iCs/>
              </w:rPr>
              <w:t xml:space="preserve">Indicates whether the UE supports intra-band </w:t>
            </w:r>
            <w:r w:rsidRPr="00936461">
              <w:rPr>
                <w:szCs w:val="22"/>
              </w:rPr>
              <w:t>(NG)</w:t>
            </w:r>
            <w:r w:rsidRPr="00936461">
              <w:rPr>
                <w:bCs/>
                <w:iCs/>
              </w:rPr>
              <w:t xml:space="preserve">EN-DC with </w:t>
            </w:r>
            <w:r w:rsidRPr="00E95830">
              <w:rPr>
                <w:bCs/>
                <w:iCs/>
                <w:color w:val="C00000"/>
                <w:highlight w:val="yellow"/>
              </w:rPr>
              <w:t>only</w:t>
            </w:r>
            <w:r w:rsidRPr="00E95830">
              <w:rPr>
                <w:bCs/>
                <w:iCs/>
                <w:highlight w:val="yellow"/>
              </w:rPr>
              <w:t xml:space="preserve"> non-contiguous spectrum, or with both contiguous and non-contiguous spectrum</w:t>
            </w:r>
            <w:r w:rsidRPr="00936461">
              <w:rPr>
                <w:bCs/>
                <w:iCs/>
              </w:rPr>
              <w:t xml:space="preserve"> for the </w:t>
            </w:r>
            <w:r w:rsidRPr="00936461">
              <w:rPr>
                <w:szCs w:val="22"/>
              </w:rPr>
              <w:t>(NG)</w:t>
            </w:r>
            <w:r w:rsidRPr="00936461">
              <w:rPr>
                <w:bCs/>
                <w:iCs/>
              </w:rPr>
              <w:t>EN-DC combination as specified in TS 38.101-3 [4].</w:t>
            </w:r>
          </w:p>
          <w:p w14:paraId="3AFA0ECA" w14:textId="77777777" w:rsidR="000D3350" w:rsidRPr="00936461" w:rsidRDefault="000D3350" w:rsidP="00983C6D">
            <w:pPr>
              <w:pStyle w:val="TAL"/>
              <w:rPr>
                <w:bCs/>
                <w:iCs/>
              </w:rPr>
            </w:pPr>
            <w:r w:rsidRPr="00936461">
              <w:rPr>
                <w:bCs/>
                <w:iCs/>
              </w:rPr>
              <w:t xml:space="preserve">If the UE does not include this field for an intra-band </w:t>
            </w:r>
            <w:r w:rsidRPr="00936461">
              <w:rPr>
                <w:szCs w:val="22"/>
              </w:rPr>
              <w:t>(NG)</w:t>
            </w:r>
            <w:r w:rsidRPr="00936461">
              <w:rPr>
                <w:bCs/>
                <w:iCs/>
              </w:rPr>
              <w:t xml:space="preserve">EN-DC combination the UE only supports the contiguous spectrum for the intra-band </w:t>
            </w:r>
            <w:r w:rsidRPr="00936461">
              <w:rPr>
                <w:szCs w:val="22"/>
              </w:rPr>
              <w:t>(NG)</w:t>
            </w:r>
            <w:r w:rsidRPr="00936461">
              <w:rPr>
                <w:bCs/>
                <w:iCs/>
              </w:rPr>
              <w:t>EN-DC combination.</w:t>
            </w:r>
          </w:p>
          <w:p w14:paraId="26161D19" w14:textId="77777777" w:rsidR="000D3350" w:rsidRPr="00936461" w:rsidRDefault="000D3350" w:rsidP="00983C6D">
            <w:pPr>
              <w:pStyle w:val="TAL"/>
              <w:rPr>
                <w:b/>
                <w:bCs/>
                <w:i/>
                <w:iCs/>
              </w:rPr>
            </w:pPr>
            <w:r w:rsidRPr="00936461">
              <w:t xml:space="preserve">If </w:t>
            </w:r>
            <w:r w:rsidRPr="00936461">
              <w:rPr>
                <w:i/>
                <w:iCs/>
              </w:rPr>
              <w:t>intrabandENDC-Support-UL</w:t>
            </w:r>
            <w:r w:rsidRPr="00936461">
              <w:t xml:space="preserve"> is absent and the band combination supports intra-band (NG)EN-DC only in DL, this field indicates the DL capability. If </w:t>
            </w:r>
            <w:r w:rsidRPr="00936461">
              <w:rPr>
                <w:i/>
                <w:iCs/>
              </w:rPr>
              <w:t>intrabandENDC-Support-UL</w:t>
            </w:r>
            <w:r w:rsidRPr="00936461">
              <w:t xml:space="preserve"> is absent and the band combination supports intra-band (NG)EN-DC in DL and UL, this field indicates the common capability for both DL and UL. If </w:t>
            </w:r>
            <w:r w:rsidRPr="00936461">
              <w:rPr>
                <w:i/>
                <w:iCs/>
              </w:rPr>
              <w:t>intrabandENDC-Support-UL</w:t>
            </w:r>
            <w:r w:rsidRPr="00936461">
              <w:t xml:space="preserve"> is included, </w:t>
            </w:r>
            <w:r w:rsidRPr="00936461">
              <w:rPr>
                <w:i/>
              </w:rPr>
              <w:t>intraBandENDC-Support</w:t>
            </w:r>
            <w:r w:rsidRPr="00936461">
              <w:t xml:space="preserve"> indicates the DL capability.</w:t>
            </w:r>
          </w:p>
        </w:tc>
        <w:tc>
          <w:tcPr>
            <w:tcW w:w="368" w:type="pct"/>
          </w:tcPr>
          <w:p w14:paraId="39670706" w14:textId="77777777" w:rsidR="000D3350" w:rsidRPr="00936461" w:rsidRDefault="000D3350" w:rsidP="00983C6D">
            <w:pPr>
              <w:pStyle w:val="TAL"/>
              <w:jc w:val="center"/>
              <w:rPr>
                <w:bCs/>
                <w:iCs/>
              </w:rPr>
            </w:pPr>
            <w:r w:rsidRPr="00936461">
              <w:t>BC</w:t>
            </w:r>
          </w:p>
        </w:tc>
        <w:tc>
          <w:tcPr>
            <w:tcW w:w="294" w:type="pct"/>
          </w:tcPr>
          <w:p w14:paraId="40853AD6" w14:textId="77777777" w:rsidR="000D3350" w:rsidRPr="00936461" w:rsidRDefault="000D3350" w:rsidP="00983C6D">
            <w:pPr>
              <w:pStyle w:val="TAL"/>
              <w:jc w:val="center"/>
              <w:rPr>
                <w:bCs/>
                <w:iCs/>
              </w:rPr>
            </w:pPr>
            <w:r w:rsidRPr="00936461">
              <w:t>No</w:t>
            </w:r>
          </w:p>
        </w:tc>
        <w:tc>
          <w:tcPr>
            <w:tcW w:w="368" w:type="pct"/>
          </w:tcPr>
          <w:p w14:paraId="522EEC6C" w14:textId="77777777" w:rsidR="000D3350" w:rsidRPr="00936461" w:rsidRDefault="000D3350" w:rsidP="00983C6D">
            <w:pPr>
              <w:pStyle w:val="TAL"/>
              <w:jc w:val="center"/>
              <w:rPr>
                <w:bCs/>
                <w:iCs/>
              </w:rPr>
            </w:pPr>
            <w:r w:rsidRPr="00936461">
              <w:rPr>
                <w:bCs/>
                <w:iCs/>
              </w:rPr>
              <w:t>N/A</w:t>
            </w:r>
          </w:p>
        </w:tc>
        <w:tc>
          <w:tcPr>
            <w:tcW w:w="378" w:type="pct"/>
          </w:tcPr>
          <w:p w14:paraId="6D30CC6A" w14:textId="77777777" w:rsidR="000D3350" w:rsidRPr="00936461" w:rsidRDefault="000D3350" w:rsidP="00983C6D">
            <w:pPr>
              <w:pStyle w:val="TAL"/>
              <w:jc w:val="center"/>
            </w:pPr>
            <w:r w:rsidRPr="00936461">
              <w:rPr>
                <w:bCs/>
                <w:iCs/>
              </w:rPr>
              <w:t>N/A</w:t>
            </w:r>
          </w:p>
        </w:tc>
      </w:tr>
    </w:tbl>
    <w:p w14:paraId="02BE114B" w14:textId="22E6EA9C" w:rsidR="000D3350" w:rsidRDefault="00722A47" w:rsidP="005338DD">
      <w:r>
        <w:t>A</w:t>
      </w:r>
      <w:r w:rsidR="00B175D5">
        <w:t xml:space="preserve">ccording to RAN4 LS, </w:t>
      </w:r>
      <w:r w:rsidR="005F1AA8">
        <w:t xml:space="preserve">from RAN4 perspective, </w:t>
      </w:r>
      <w:r w:rsidR="00B175D5">
        <w:t xml:space="preserve">the UE supporting ‘non-contiguous’ </w:t>
      </w:r>
      <w:r w:rsidR="005F1AA8">
        <w:t>should not preclude the support of</w:t>
      </w:r>
      <w:r w:rsidR="00B175D5">
        <w:t xml:space="preserve"> ‘contiguous’</w:t>
      </w:r>
      <w:r w:rsidR="005F1AA8">
        <w:t xml:space="preserve"> in the same band</w:t>
      </w:r>
      <w:r w:rsidR="00B175D5">
        <w:t xml:space="preserve">, since support of ‘non-contiguous’ is kind of more stringent implementation. However, </w:t>
      </w:r>
      <w:r>
        <w:t>such restriction</w:t>
      </w:r>
      <w:r w:rsidR="00B175D5">
        <w:t xml:space="preserve"> is not reflected in </w:t>
      </w:r>
      <w:r w:rsidR="004E63F2">
        <w:t>current</w:t>
      </w:r>
      <w:r w:rsidR="00B175D5">
        <w:t xml:space="preserve"> specs</w:t>
      </w:r>
      <w:r>
        <w:t>. The UE already in the market is not expected to follow such requirement</w:t>
      </w:r>
      <w:r w:rsidR="004E63F2">
        <w:t xml:space="preserve"> in any</w:t>
      </w:r>
      <w:r w:rsidR="004E63F2" w:rsidRPr="004E63F2">
        <w:t xml:space="preserve"> </w:t>
      </w:r>
      <w:r w:rsidR="004E63F2">
        <w:t>conformance test. It is impossible to do any NBC change now in RAN2.</w:t>
      </w:r>
    </w:p>
    <w:p w14:paraId="0165B742" w14:textId="60D747BF" w:rsidR="0095196F" w:rsidRDefault="00722A47" w:rsidP="005338DD">
      <w:r>
        <w:t xml:space="preserve">The issue came out when the usable spectrum is </w:t>
      </w:r>
      <w:r w:rsidR="004E63F2">
        <w:t xml:space="preserve">only </w:t>
      </w:r>
      <w:r>
        <w:t xml:space="preserve">contiguous </w:t>
      </w:r>
      <w:r w:rsidR="004E63F2">
        <w:t>spectrum</w:t>
      </w:r>
      <w:r>
        <w:t xml:space="preserve"> in some regions. Operators are motivated to </w:t>
      </w:r>
      <w:r w:rsidR="0095196F">
        <w:t>deploy the</w:t>
      </w:r>
      <w:r w:rsidR="004E63F2">
        <w:t xml:space="preserve"> </w:t>
      </w:r>
      <w:r w:rsidR="00352040">
        <w:t xml:space="preserve">contiguous EN-DC </w:t>
      </w:r>
      <w:r w:rsidR="0095196F">
        <w:t>combinations</w:t>
      </w:r>
      <w:r w:rsidR="004E63F2">
        <w:t xml:space="preserve"> for better system performance</w:t>
      </w:r>
      <w:r w:rsidR="00414ECE">
        <w:t>.</w:t>
      </w:r>
      <w:r w:rsidR="004E63F2">
        <w:t xml:space="preserve"> </w:t>
      </w:r>
      <w:r w:rsidR="00D53996">
        <w:t xml:space="preserve">In such combinations, </w:t>
      </w:r>
      <w:r w:rsidR="004E63F2">
        <w:t>the UE</w:t>
      </w:r>
      <w:r w:rsidR="00C502E6">
        <w:t>s</w:t>
      </w:r>
      <w:r w:rsidR="004E63F2">
        <w:t xml:space="preserve"> </w:t>
      </w:r>
      <w:r w:rsidR="00414ECE">
        <w:t xml:space="preserve">reporting “non-contiguous” in </w:t>
      </w:r>
      <w:r w:rsidR="00414ECE" w:rsidRPr="00D53996">
        <w:rPr>
          <w:i/>
        </w:rPr>
        <w:t>intrabandENDC-Support</w:t>
      </w:r>
      <w:r w:rsidR="00414ECE">
        <w:t xml:space="preserve"> may not </w:t>
      </w:r>
      <w:r w:rsidR="00C502E6">
        <w:t xml:space="preserve">be </w:t>
      </w:r>
      <w:r w:rsidR="00414ECE">
        <w:t xml:space="preserve">able to access to </w:t>
      </w:r>
      <w:r w:rsidR="00D53996">
        <w:t>corresponding cells</w:t>
      </w:r>
      <w:r w:rsidR="00414ECE">
        <w:t>.</w:t>
      </w:r>
      <w:r>
        <w:t xml:space="preserve"> </w:t>
      </w:r>
    </w:p>
    <w:p w14:paraId="222F44DA" w14:textId="6E367BA8" w:rsidR="004E0477" w:rsidRDefault="007A7ADE" w:rsidP="004E0477">
      <w:r>
        <w:lastRenderedPageBreak/>
        <w:t>To address the issue,</w:t>
      </w:r>
      <w:r w:rsidR="004E63F2">
        <w:t xml:space="preserve"> RAN4 </w:t>
      </w:r>
      <w:r>
        <w:t>agreed</w:t>
      </w:r>
      <w:r w:rsidR="004E63F2">
        <w:t xml:space="preserve"> to introduce a new capability to </w:t>
      </w:r>
      <w:r w:rsidR="00770462">
        <w:t>indicate support of</w:t>
      </w:r>
      <w:r w:rsidR="004E63F2">
        <w:t xml:space="preserve"> intra-band non-contiguous spectrum with nominal channel spacing. </w:t>
      </w:r>
      <w:r>
        <w:t xml:space="preserve">In last RAN4 meeting, the applicable requirement for </w:t>
      </w:r>
      <w:r w:rsidR="00A941E5">
        <w:t xml:space="preserve">the new capability </w:t>
      </w:r>
      <w:r>
        <w:t xml:space="preserve">was introduced in [2]. </w:t>
      </w:r>
      <w:r w:rsidR="004E0477">
        <w:t>Based on RAN4 spec, there are now three types of UE capability:</w:t>
      </w:r>
    </w:p>
    <w:p w14:paraId="0A712C9A" w14:textId="0C6FE574" w:rsidR="004E0477" w:rsidRPr="004E0477" w:rsidRDefault="004E0477" w:rsidP="004E0477">
      <w:pPr>
        <w:rPr>
          <w:lang w:val="en-US"/>
        </w:rPr>
      </w:pPr>
      <w:r>
        <w:rPr>
          <w:lang w:val="en-US"/>
        </w:rPr>
        <w:t xml:space="preserve">1. </w:t>
      </w:r>
      <w:r w:rsidRPr="004E0477">
        <w:rPr>
          <w:lang w:val="en-US"/>
        </w:rPr>
        <w:t xml:space="preserve">UE indicating "Non-contiguous" (existing): Can meet the requirement for </w:t>
      </w:r>
      <w:r w:rsidRPr="004E0477">
        <w:rPr>
          <w:b/>
          <w:bCs/>
          <w:lang w:val="en-US"/>
        </w:rPr>
        <w:t>non-contiguous</w:t>
      </w:r>
      <w:r w:rsidRPr="004E0477">
        <w:rPr>
          <w:lang w:val="en-US"/>
        </w:rPr>
        <w:t xml:space="preserve"> EN-DC when it is configured with EN-DC combination with channel spacing </w:t>
      </w:r>
      <w:r w:rsidRPr="004E0477">
        <w:rPr>
          <w:b/>
          <w:bCs/>
          <w:lang w:val="en-US"/>
        </w:rPr>
        <w:t>larger than</w:t>
      </w:r>
      <w:r w:rsidRPr="004E0477">
        <w:rPr>
          <w:lang w:val="en-US"/>
        </w:rPr>
        <w:t> the nominal value.</w:t>
      </w:r>
    </w:p>
    <w:p w14:paraId="32C8B569" w14:textId="3E10C453" w:rsidR="004E0477" w:rsidRDefault="004E0477" w:rsidP="004E0477">
      <w:pPr>
        <w:rPr>
          <w:lang w:val="en-US"/>
        </w:rPr>
      </w:pPr>
      <w:r>
        <w:rPr>
          <w:lang w:val="en-US"/>
        </w:rPr>
        <w:t xml:space="preserve">2. </w:t>
      </w:r>
      <w:r w:rsidRPr="004E0477">
        <w:rPr>
          <w:lang w:val="en-US"/>
        </w:rPr>
        <w:t xml:space="preserve">UE indicating "Contiguous" (existing): Can meet the requirement for </w:t>
      </w:r>
      <w:r w:rsidRPr="004E0477">
        <w:rPr>
          <w:b/>
          <w:bCs/>
          <w:lang w:val="en-US"/>
        </w:rPr>
        <w:t>contiguous</w:t>
      </w:r>
      <w:r w:rsidRPr="004E0477">
        <w:rPr>
          <w:lang w:val="en-US"/>
        </w:rPr>
        <w:t xml:space="preserve"> EN-DC when it is configured with EN-DC combination with channel spacing </w:t>
      </w:r>
      <w:r w:rsidRPr="004E0477">
        <w:rPr>
          <w:b/>
          <w:bCs/>
          <w:lang w:val="en-US"/>
        </w:rPr>
        <w:t>less than or equal to</w:t>
      </w:r>
      <w:r w:rsidRPr="004E0477">
        <w:rPr>
          <w:lang w:val="en-US"/>
        </w:rPr>
        <w:t> nominal value.</w:t>
      </w:r>
    </w:p>
    <w:p w14:paraId="58E45017" w14:textId="6836B733" w:rsidR="004E0477" w:rsidRDefault="004E0477" w:rsidP="004E0477">
      <w:pPr>
        <w:rPr>
          <w:lang w:val="en-US"/>
        </w:rPr>
      </w:pPr>
      <w:r>
        <w:rPr>
          <w:lang w:val="en-US"/>
        </w:rPr>
        <w:t>3.</w:t>
      </w:r>
      <w:r w:rsidRPr="004E0477">
        <w:rPr>
          <w:lang w:val="en-US"/>
        </w:rPr>
        <w:t xml:space="preserve"> New UE type</w:t>
      </w:r>
      <w:r>
        <w:rPr>
          <w:lang w:val="en-US"/>
        </w:rPr>
        <w:t xml:space="preserve">: </w:t>
      </w:r>
      <w:r w:rsidRPr="004E0477">
        <w:rPr>
          <w:lang w:val="en-US"/>
        </w:rPr>
        <w:t xml:space="preserve">Can meet the requirement for </w:t>
      </w:r>
      <w:r w:rsidRPr="004E0477">
        <w:rPr>
          <w:b/>
          <w:bCs/>
          <w:lang w:val="en-US"/>
        </w:rPr>
        <w:t>non-contiguous</w:t>
      </w:r>
      <w:r w:rsidRPr="004E0477">
        <w:rPr>
          <w:lang w:val="en-US"/>
        </w:rPr>
        <w:t xml:space="preserve"> EN-DC when it is configured with EN-DC combination with channel spacing </w:t>
      </w:r>
      <w:r w:rsidRPr="004E0477">
        <w:rPr>
          <w:b/>
          <w:bCs/>
          <w:lang w:val="en-US"/>
        </w:rPr>
        <w:t>equal to or larger than</w:t>
      </w:r>
      <w:r w:rsidRPr="004E0477">
        <w:rPr>
          <w:lang w:val="en-US"/>
        </w:rPr>
        <w:t> nominal value.</w:t>
      </w:r>
    </w:p>
    <w:p w14:paraId="01C40459" w14:textId="56D4A07E" w:rsidR="004E0477" w:rsidRPr="004E0477" w:rsidRDefault="00C47AA8" w:rsidP="004E0477">
      <w:pPr>
        <w:rPr>
          <w:lang w:val="en-US"/>
        </w:rPr>
      </w:pPr>
      <w:r>
        <w:rPr>
          <w:lang w:val="en-US"/>
        </w:rPr>
        <w:t>It can be seen from the above that the new UE capability is different from existing capability. For existing UE types (i.e. indicating “contiguous” or “both” in existing capability field), with the channel spacing equal to nominal value, the requirement for contiguous EN-DC should be applied; however, for new UE type, in this case, the requirement for non-contiguous EN-DC should be applied.</w:t>
      </w:r>
      <w:r w:rsidR="00863A23">
        <w:rPr>
          <w:lang w:val="en-US"/>
        </w:rPr>
        <w:t xml:space="preserve"> In this way, it brings less testing complexity for legacy “non-contiguous” UE to support the new capability.</w:t>
      </w:r>
      <w:r>
        <w:rPr>
          <w:lang w:val="en-US"/>
        </w:rPr>
        <w:t xml:space="preserve"> </w:t>
      </w:r>
    </w:p>
    <w:p w14:paraId="76EF84DA" w14:textId="34C4ECFA" w:rsidR="004D71E1" w:rsidRDefault="00564FD4" w:rsidP="005338DD">
      <w:pPr>
        <w:rPr>
          <w:b/>
        </w:rPr>
      </w:pPr>
      <w:r w:rsidRPr="003A24CC">
        <w:rPr>
          <w:b/>
        </w:rPr>
        <w:t>Proposal</w:t>
      </w:r>
      <w:r w:rsidR="00AC552F">
        <w:rPr>
          <w:b/>
        </w:rPr>
        <w:t xml:space="preserve"> 1</w:t>
      </w:r>
      <w:r w:rsidRPr="003A24CC">
        <w:rPr>
          <w:b/>
        </w:rPr>
        <w:t xml:space="preserve">: </w:t>
      </w:r>
      <w:r w:rsidR="00770462">
        <w:rPr>
          <w:b/>
        </w:rPr>
        <w:t xml:space="preserve">Introduce new capability to indicate support of intra-band non-contiguous </w:t>
      </w:r>
      <w:r w:rsidR="00EB4D42">
        <w:rPr>
          <w:b/>
        </w:rPr>
        <w:t>(NG)</w:t>
      </w:r>
      <w:r w:rsidR="00770462">
        <w:rPr>
          <w:b/>
        </w:rPr>
        <w:t>EN-DC with nominal channel spacing.</w:t>
      </w:r>
      <w:r w:rsidR="004D71E1">
        <w:rPr>
          <w:b/>
        </w:rPr>
        <w:t xml:space="preserve"> </w:t>
      </w:r>
    </w:p>
    <w:p w14:paraId="6AB7CA56" w14:textId="77777777" w:rsidR="00A71C75" w:rsidRDefault="004D71E1" w:rsidP="004D71E1">
      <w:r>
        <w:t xml:space="preserve">Besides, in current spec, there is another capability </w:t>
      </w:r>
      <w:r w:rsidRPr="00770462">
        <w:rPr>
          <w:i/>
        </w:rPr>
        <w:t>intrabandENDC-SupportUL</w:t>
      </w:r>
      <w:r>
        <w:t xml:space="preserve"> defined when there is different contiguity capability between DL and UL. This capability is only applicable for special EN-DC combinations in RAN4 spec, e.g. DL </w:t>
      </w:r>
      <w:r w:rsidRPr="004D71E1">
        <w:t>DC_(n)48CA</w:t>
      </w:r>
      <w:r>
        <w:t xml:space="preserve">, UL </w:t>
      </w:r>
      <w:r w:rsidRPr="004D71E1">
        <w:t>DC_48A_n48A</w:t>
      </w:r>
      <w:r>
        <w:t xml:space="preserve">. </w:t>
      </w:r>
      <w:r w:rsidR="00A941E5">
        <w:t xml:space="preserve">If the UE supports same contiguity between DL and UL, the legacy field </w:t>
      </w:r>
      <w:r w:rsidR="00A941E5" w:rsidRPr="00D53996">
        <w:rPr>
          <w:i/>
        </w:rPr>
        <w:t>intrabandENDC-Support</w:t>
      </w:r>
      <w:r w:rsidR="00A941E5">
        <w:t xml:space="preserve"> will be applied. </w:t>
      </w:r>
      <w:r w:rsidR="00A71C75">
        <w:rPr>
          <w:rFonts w:hint="eastAsia"/>
        </w:rPr>
        <w:t>M</w:t>
      </w:r>
      <w:r w:rsidR="00A71C75">
        <w:t xml:space="preserve">oreover, </w:t>
      </w:r>
      <w:r w:rsidR="00000F9E">
        <w:t xml:space="preserve">for the inter-band EN-DC combination with multiple intra-band components, it was </w:t>
      </w:r>
      <w:r w:rsidR="00A71C75">
        <w:t xml:space="preserve">also </w:t>
      </w:r>
      <w:r w:rsidR="00000F9E">
        <w:t xml:space="preserve">agreed to introduce a list to indicate the contiguity capability for each component. </w:t>
      </w:r>
    </w:p>
    <w:p w14:paraId="215A25F1" w14:textId="4FD759FE" w:rsidR="00A71C75" w:rsidRDefault="00A71C75" w:rsidP="004D71E1">
      <w:r>
        <w:t>There are three options to handle the cases where different contiguity is supported between DL/UL or in multiple intra-band EN-DC components in a single BC:</w:t>
      </w:r>
    </w:p>
    <w:p w14:paraId="45FF47DA" w14:textId="7468373A" w:rsidR="00A71C75" w:rsidRPr="00A71C75" w:rsidRDefault="00A71C75" w:rsidP="00A71C75">
      <w:pPr>
        <w:numPr>
          <w:ilvl w:val="0"/>
          <w:numId w:val="50"/>
        </w:numPr>
        <w:rPr>
          <w:lang w:val="en-US"/>
        </w:rPr>
      </w:pPr>
      <w:r w:rsidRPr="00A71C75">
        <w:rPr>
          <w:rFonts w:hint="eastAsia"/>
          <w:lang w:val="en-US"/>
        </w:rPr>
        <w:t xml:space="preserve">Opt1: Preclude the applicability of the new capability for the BCs with different contiguity between DL/UL or </w:t>
      </w:r>
      <w:r>
        <w:rPr>
          <w:lang w:val="en-US"/>
        </w:rPr>
        <w:t>in</w:t>
      </w:r>
      <w:r w:rsidRPr="00A71C75">
        <w:rPr>
          <w:rFonts w:hint="eastAsia"/>
          <w:lang w:val="en-US"/>
        </w:rPr>
        <w:t xml:space="preserve"> multiple intra-band ENDC components;</w:t>
      </w:r>
    </w:p>
    <w:p w14:paraId="6D744CA9" w14:textId="77777777" w:rsidR="00A71C75" w:rsidRPr="00A71C75" w:rsidRDefault="00A71C75" w:rsidP="00A71C75">
      <w:pPr>
        <w:numPr>
          <w:ilvl w:val="0"/>
          <w:numId w:val="50"/>
        </w:numPr>
        <w:rPr>
          <w:lang w:val="en-US"/>
        </w:rPr>
      </w:pPr>
      <w:r w:rsidRPr="00A71C75">
        <w:rPr>
          <w:rFonts w:hint="eastAsia"/>
          <w:lang w:val="en-US"/>
        </w:rPr>
        <w:t>Opt2: Introduce the new capability in a finer granularity, i.e. per DL/UL direction per intra-band ENDC component;</w:t>
      </w:r>
    </w:p>
    <w:p w14:paraId="4B168152" w14:textId="669128B8" w:rsidR="00A71C75" w:rsidRPr="00A71C75" w:rsidRDefault="00A71C75" w:rsidP="004D71E1">
      <w:pPr>
        <w:numPr>
          <w:ilvl w:val="0"/>
          <w:numId w:val="50"/>
        </w:numPr>
        <w:rPr>
          <w:lang w:val="en-US"/>
        </w:rPr>
      </w:pPr>
      <w:r w:rsidRPr="00A71C75">
        <w:rPr>
          <w:rFonts w:hint="eastAsia"/>
          <w:lang w:val="en-US"/>
        </w:rPr>
        <w:t xml:space="preserve">Opt3: Keep the new capability in per-BC level, and clarify the new capability only applies to the DL/UL direction of the intra-band ENDC component with </w:t>
      </w:r>
      <w:r>
        <w:rPr>
          <w:lang w:val="en-US"/>
        </w:rPr>
        <w:t>“</w:t>
      </w:r>
      <w:r w:rsidRPr="00A71C75">
        <w:rPr>
          <w:rFonts w:hint="eastAsia"/>
          <w:lang w:val="en-US"/>
        </w:rPr>
        <w:t>non-contiguous</w:t>
      </w:r>
      <w:r>
        <w:rPr>
          <w:lang w:val="en-US"/>
        </w:rPr>
        <w:t>”</w:t>
      </w:r>
      <w:r w:rsidRPr="00A71C75">
        <w:rPr>
          <w:rFonts w:hint="eastAsia"/>
          <w:lang w:val="en-US"/>
        </w:rPr>
        <w:t xml:space="preserve"> indicated in the existing capability.  </w:t>
      </w:r>
    </w:p>
    <w:p w14:paraId="05BD4EEC" w14:textId="6449869F" w:rsidR="004D71E1" w:rsidRPr="00A941E5" w:rsidRDefault="007642D8" w:rsidP="004D71E1">
      <w:r>
        <w:rPr>
          <w:lang w:val="en-US"/>
        </w:rPr>
        <w:t>To have</w:t>
      </w:r>
      <w:r w:rsidR="00A71C75" w:rsidRPr="00A71C75">
        <w:t xml:space="preserve"> a more future-proof mechanism with less signaling overhead</w:t>
      </w:r>
      <w:r w:rsidR="00A71C75">
        <w:t>, w</w:t>
      </w:r>
      <w:r w:rsidR="00000F9E">
        <w:t xml:space="preserve">e </w:t>
      </w:r>
      <w:r w:rsidR="00A71C75">
        <w:t xml:space="preserve">suggest to go with option3. </w:t>
      </w:r>
      <w:r w:rsidR="0025758E">
        <w:rPr>
          <w:rFonts w:hint="eastAsia"/>
        </w:rPr>
        <w:t>For</w:t>
      </w:r>
      <w:r w:rsidR="0025758E">
        <w:t xml:space="preserve"> example, when “non-contiguous” is supported in both DL and UL (i.e. </w:t>
      </w:r>
      <w:r w:rsidR="0025758E" w:rsidRPr="003E48A9">
        <w:rPr>
          <w:i/>
        </w:rPr>
        <w:t>intrabandENDC-Support</w:t>
      </w:r>
      <w:r w:rsidR="0025758E">
        <w:t xml:space="preserve"> </w:t>
      </w:r>
      <w:r w:rsidR="0025758E">
        <w:rPr>
          <w:rFonts w:hint="eastAsia"/>
        </w:rPr>
        <w:t>is</w:t>
      </w:r>
      <w:r w:rsidR="0025758E">
        <w:t xml:space="preserve"> set to “non-contiguous”) and the new capability is signalled, the </w:t>
      </w:r>
      <w:r w:rsidR="00BA7FF0">
        <w:t>new capability applies</w:t>
      </w:r>
      <w:r w:rsidR="0025758E">
        <w:t xml:space="preserve"> for both DL and UL. When “contiguous” is supported in DL and “non-contiguous” is supported in UL (i.e. </w:t>
      </w:r>
      <w:r w:rsidR="0025758E" w:rsidRPr="003E48A9">
        <w:rPr>
          <w:i/>
        </w:rPr>
        <w:t>intrabandENDC-Support</w:t>
      </w:r>
      <w:r w:rsidR="0025758E">
        <w:t xml:space="preserve"> </w:t>
      </w:r>
      <w:r w:rsidR="0025758E">
        <w:rPr>
          <w:rFonts w:hint="eastAsia"/>
        </w:rPr>
        <w:t>is</w:t>
      </w:r>
      <w:r w:rsidR="0025758E">
        <w:t xml:space="preserve"> set to “contiguous” and </w:t>
      </w:r>
      <w:r w:rsidR="0025758E" w:rsidRPr="00770462">
        <w:rPr>
          <w:i/>
        </w:rPr>
        <w:t>intrabandENDC-SupportUL</w:t>
      </w:r>
      <w:r w:rsidR="0025758E">
        <w:t xml:space="preserve"> is set to “non-contiguous”), and the new capability is signalled, the </w:t>
      </w:r>
      <w:r w:rsidR="00BA7FF0">
        <w:t>new capability only applies</w:t>
      </w:r>
      <w:r w:rsidR="0025758E">
        <w:t xml:space="preserve"> </w:t>
      </w:r>
      <w:r w:rsidR="00BA7FF0">
        <w:t>for</w:t>
      </w:r>
      <w:r w:rsidR="0025758E">
        <w:t xml:space="preserve"> UL.</w:t>
      </w:r>
      <w:r w:rsidR="0025758E" w:rsidRPr="0025758E">
        <w:t xml:space="preserve"> </w:t>
      </w:r>
      <w:r w:rsidR="0025758E">
        <w:t xml:space="preserve">In other words, </w:t>
      </w:r>
      <w:r w:rsidR="007C4B99">
        <w:t xml:space="preserve">for nominal channel spacing, </w:t>
      </w:r>
      <w:r w:rsidR="007C4B99" w:rsidRPr="007C4B99">
        <w:t>the “non-contiguous” requirement should be applied for UL, and “contiguous” requirement should be applied for DL.</w:t>
      </w:r>
    </w:p>
    <w:p w14:paraId="01B8A6DB" w14:textId="48ABE2C0" w:rsidR="00000F9E" w:rsidRDefault="00000F9E" w:rsidP="00000F9E">
      <w:r>
        <w:t xml:space="preserve">In conclusion, the new capability should be introduced in per-BC level, which is applicable </w:t>
      </w:r>
      <w:r w:rsidR="007C4B99">
        <w:t xml:space="preserve">only </w:t>
      </w:r>
      <w:r>
        <w:t xml:space="preserve">for </w:t>
      </w:r>
      <w:r w:rsidR="003E48A9">
        <w:t xml:space="preserve">the </w:t>
      </w:r>
      <w:r>
        <w:t>DL and/or UL intra-band EN-DC component</w:t>
      </w:r>
      <w:r w:rsidR="00D8085D">
        <w:t>(s)</w:t>
      </w:r>
      <w:r>
        <w:t xml:space="preserve"> with </w:t>
      </w:r>
      <w:r w:rsidR="00025C3C">
        <w:t>“</w:t>
      </w:r>
      <w:r>
        <w:t>non-contiguous</w:t>
      </w:r>
      <w:r w:rsidR="00025C3C">
        <w:t>”</w:t>
      </w:r>
      <w:r>
        <w:t xml:space="preserve"> </w:t>
      </w:r>
      <w:r w:rsidR="00025C3C">
        <w:t xml:space="preserve">indicated in the existing </w:t>
      </w:r>
      <w:r w:rsidR="00D8085D">
        <w:t>capability in the BC.</w:t>
      </w:r>
      <w:r>
        <w:t xml:space="preserve"> The UE indicating support of the new capability shall indicate support of “non-contiguous” in at least one among </w:t>
      </w:r>
      <w:r w:rsidRPr="00000F9E">
        <w:rPr>
          <w:i/>
        </w:rPr>
        <w:t>intrabandENDC-Support/intrabandENDC-SupportUL/</w:t>
      </w:r>
      <w:r w:rsidRPr="00000F9E">
        <w:t xml:space="preserve"> </w:t>
      </w:r>
      <w:r w:rsidRPr="00000F9E">
        <w:rPr>
          <w:i/>
        </w:rPr>
        <w:t>intrabandENDC-Support-DL-v1790/</w:t>
      </w:r>
      <w:r w:rsidRPr="00000F9E">
        <w:t xml:space="preserve"> </w:t>
      </w:r>
      <w:r w:rsidRPr="00000F9E">
        <w:rPr>
          <w:i/>
        </w:rPr>
        <w:t>intrabandENDC-Support-UL-v1790</w:t>
      </w:r>
      <w:r>
        <w:t>.</w:t>
      </w:r>
      <w:r w:rsidR="007A7ADE">
        <w:t xml:space="preserve"> </w:t>
      </w:r>
    </w:p>
    <w:p w14:paraId="6EDEBD82" w14:textId="4ABCB4C8" w:rsidR="007A7ADE" w:rsidRPr="00000F9E" w:rsidRDefault="007A7ADE" w:rsidP="00000F9E">
      <w:r>
        <w:rPr>
          <w:rFonts w:hint="eastAsia"/>
        </w:rPr>
        <w:t>T</w:t>
      </w:r>
      <w:r>
        <w:t>he corresponding CRs are provided in [3][4].</w:t>
      </w:r>
    </w:p>
    <w:p w14:paraId="0F15382F" w14:textId="3B32BFFC" w:rsidR="00D8085D" w:rsidRDefault="004D71E1" w:rsidP="005338DD">
      <w:pPr>
        <w:rPr>
          <w:b/>
        </w:rPr>
      </w:pPr>
      <w:r>
        <w:rPr>
          <w:b/>
        </w:rPr>
        <w:t>Proposal 2:</w:t>
      </w:r>
      <w:r w:rsidR="00D8085D">
        <w:rPr>
          <w:b/>
        </w:rPr>
        <w:t xml:space="preserve"> The new capability is in per-BC level, which </w:t>
      </w:r>
      <w:r w:rsidR="00D8085D" w:rsidRPr="00D8085D">
        <w:rPr>
          <w:b/>
        </w:rPr>
        <w:t xml:space="preserve">is </w:t>
      </w:r>
      <w:r w:rsidR="00E21637">
        <w:rPr>
          <w:b/>
        </w:rPr>
        <w:t xml:space="preserve">only </w:t>
      </w:r>
      <w:r w:rsidR="00D8085D" w:rsidRPr="00D8085D">
        <w:rPr>
          <w:b/>
        </w:rPr>
        <w:t xml:space="preserve">applicable for </w:t>
      </w:r>
      <w:r w:rsidR="003E48A9">
        <w:rPr>
          <w:b/>
        </w:rPr>
        <w:t xml:space="preserve">the </w:t>
      </w:r>
      <w:r w:rsidR="00D8085D" w:rsidRPr="00D8085D">
        <w:rPr>
          <w:b/>
        </w:rPr>
        <w:t xml:space="preserve">DL and/or UL intra-band EN-DC component(s) with </w:t>
      </w:r>
      <w:r w:rsidR="00025C3C">
        <w:rPr>
          <w:b/>
        </w:rPr>
        <w:t>“</w:t>
      </w:r>
      <w:r w:rsidR="00D8085D" w:rsidRPr="00D8085D">
        <w:rPr>
          <w:b/>
        </w:rPr>
        <w:t>non-contiguous</w:t>
      </w:r>
      <w:r w:rsidR="00025C3C">
        <w:rPr>
          <w:b/>
        </w:rPr>
        <w:t>” indicated</w:t>
      </w:r>
      <w:r w:rsidR="00D8085D" w:rsidRPr="00D8085D">
        <w:rPr>
          <w:b/>
        </w:rPr>
        <w:t xml:space="preserve"> </w:t>
      </w:r>
      <w:r w:rsidR="00025C3C">
        <w:rPr>
          <w:b/>
        </w:rPr>
        <w:t xml:space="preserve">in the existing </w:t>
      </w:r>
      <w:r w:rsidR="00D8085D" w:rsidRPr="00D8085D">
        <w:rPr>
          <w:b/>
        </w:rPr>
        <w:t xml:space="preserve">capability </w:t>
      </w:r>
      <w:r w:rsidR="00D8085D">
        <w:rPr>
          <w:b/>
        </w:rPr>
        <w:t>in the BC</w:t>
      </w:r>
      <w:r w:rsidR="00D8085D" w:rsidRPr="00D8085D">
        <w:rPr>
          <w:b/>
        </w:rPr>
        <w:t>.</w:t>
      </w:r>
      <w:r w:rsidR="007A7ADE">
        <w:rPr>
          <w:rFonts w:hint="eastAsia"/>
          <w:b/>
        </w:rPr>
        <w:t xml:space="preserve"> </w:t>
      </w:r>
      <w:r w:rsidR="00D8085D" w:rsidRPr="00D8085D">
        <w:rPr>
          <w:b/>
        </w:rPr>
        <w:t xml:space="preserve">The UE indicating support of the new capability shall indicate support of “non-contiguous” in at least one among </w:t>
      </w:r>
      <w:r w:rsidR="00D8085D" w:rsidRPr="00D8085D">
        <w:rPr>
          <w:b/>
          <w:i/>
        </w:rPr>
        <w:t>intrabandENDC-Support/intrabandENDC-SupportUL/intrabandENDC-Support-DL-v1790/</w:t>
      </w:r>
      <w:r w:rsidR="00D8085D" w:rsidRPr="00D8085D">
        <w:rPr>
          <w:b/>
        </w:rPr>
        <w:t xml:space="preserve"> </w:t>
      </w:r>
      <w:r w:rsidR="00D8085D" w:rsidRPr="00D8085D">
        <w:rPr>
          <w:b/>
          <w:i/>
        </w:rPr>
        <w:t>intrabandENDC-Support-UL-v1790</w:t>
      </w:r>
      <w:r w:rsidR="00D8085D" w:rsidRPr="00D8085D">
        <w:rPr>
          <w:b/>
        </w:rPr>
        <w:t>.</w:t>
      </w:r>
    </w:p>
    <w:p w14:paraId="5DE73545" w14:textId="66BFBEFD" w:rsidR="007A7ADE" w:rsidRPr="00D8085D" w:rsidRDefault="007A7ADE" w:rsidP="005338DD">
      <w:pPr>
        <w:rPr>
          <w:b/>
        </w:rPr>
      </w:pPr>
      <w:r>
        <w:rPr>
          <w:rFonts w:hint="eastAsia"/>
          <w:b/>
        </w:rPr>
        <w:t>P</w:t>
      </w:r>
      <w:r>
        <w:rPr>
          <w:b/>
        </w:rPr>
        <w:t>roposal 3: Agree the CRs in [3][4].</w:t>
      </w:r>
    </w:p>
    <w:bookmarkEnd w:id="2"/>
    <w:bookmarkEnd w:id="3"/>
    <w:p w14:paraId="1B4B23D7" w14:textId="77777777" w:rsidR="00A361EF" w:rsidRDefault="00A361EF" w:rsidP="00644242">
      <w:pPr>
        <w:pStyle w:val="1"/>
        <w:spacing w:before="100" w:beforeAutospacing="1" w:after="100" w:afterAutospacing="1"/>
        <w:ind w:left="0" w:firstLine="0"/>
        <w:jc w:val="both"/>
      </w:pPr>
      <w:r>
        <w:rPr>
          <w:rFonts w:hint="eastAsia"/>
        </w:rPr>
        <w:lastRenderedPageBreak/>
        <w:t>3</w:t>
      </w:r>
      <w:r>
        <w:t>. Conclusion</w:t>
      </w:r>
    </w:p>
    <w:p w14:paraId="3A9C5B1A" w14:textId="03150693" w:rsidR="002F3784" w:rsidRDefault="00E741D0" w:rsidP="00770462">
      <w:pPr>
        <w:spacing w:before="100" w:beforeAutospacing="1" w:after="100" w:afterAutospacing="1"/>
        <w:jc w:val="both"/>
        <w:rPr>
          <w:b/>
        </w:rPr>
      </w:pPr>
      <w:r w:rsidRPr="00E741D0">
        <w:rPr>
          <w:lang w:val="en-US"/>
        </w:rPr>
        <w:t xml:space="preserve">In this contribution, we </w:t>
      </w:r>
      <w:r w:rsidR="00770462">
        <w:rPr>
          <w:lang w:val="en-US"/>
        </w:rPr>
        <w:t>have following proposals</w:t>
      </w:r>
      <w:r w:rsidR="00770462" w:rsidRPr="00770462">
        <w:t>:</w:t>
      </w:r>
    </w:p>
    <w:p w14:paraId="34D304A7" w14:textId="207B3671" w:rsidR="00770462" w:rsidRPr="003A24CC" w:rsidRDefault="00770462" w:rsidP="00770462">
      <w:pPr>
        <w:rPr>
          <w:b/>
        </w:rPr>
      </w:pPr>
      <w:r w:rsidRPr="003A24CC">
        <w:rPr>
          <w:b/>
        </w:rPr>
        <w:t>Proposal</w:t>
      </w:r>
      <w:r>
        <w:rPr>
          <w:b/>
        </w:rPr>
        <w:t xml:space="preserve"> 1</w:t>
      </w:r>
      <w:r w:rsidRPr="003A24CC">
        <w:rPr>
          <w:b/>
        </w:rPr>
        <w:t xml:space="preserve">: </w:t>
      </w:r>
      <w:r>
        <w:rPr>
          <w:b/>
        </w:rPr>
        <w:t xml:space="preserve">Introduce new capability to indicate support of intra-band non-contiguous </w:t>
      </w:r>
      <w:r w:rsidR="00EB4D42">
        <w:rPr>
          <w:b/>
        </w:rPr>
        <w:t>(NG)</w:t>
      </w:r>
      <w:r>
        <w:rPr>
          <w:b/>
        </w:rPr>
        <w:t>EN-DC with nominal channel spacing.</w:t>
      </w:r>
    </w:p>
    <w:p w14:paraId="4F4A82F1" w14:textId="60A1EF6E" w:rsidR="007A7ADE" w:rsidRDefault="007A7ADE" w:rsidP="007A7ADE">
      <w:pPr>
        <w:rPr>
          <w:b/>
        </w:rPr>
      </w:pPr>
      <w:r>
        <w:rPr>
          <w:b/>
        </w:rPr>
        <w:t xml:space="preserve">Proposal 2: The new capability is in per-BC level, which </w:t>
      </w:r>
      <w:r w:rsidRPr="00D8085D">
        <w:rPr>
          <w:b/>
        </w:rPr>
        <w:t xml:space="preserve">is </w:t>
      </w:r>
      <w:r w:rsidR="00E21637">
        <w:rPr>
          <w:b/>
        </w:rPr>
        <w:t xml:space="preserve">only </w:t>
      </w:r>
      <w:r w:rsidRPr="00D8085D">
        <w:rPr>
          <w:b/>
        </w:rPr>
        <w:t xml:space="preserve">applicable for </w:t>
      </w:r>
      <w:r>
        <w:rPr>
          <w:b/>
        </w:rPr>
        <w:t xml:space="preserve">the </w:t>
      </w:r>
      <w:r w:rsidRPr="00D8085D">
        <w:rPr>
          <w:b/>
        </w:rPr>
        <w:t xml:space="preserve">DL and/or UL intra-band EN-DC component(s) with </w:t>
      </w:r>
      <w:r w:rsidR="00DD4F9B">
        <w:rPr>
          <w:b/>
        </w:rPr>
        <w:t>“</w:t>
      </w:r>
      <w:r w:rsidRPr="00D8085D">
        <w:rPr>
          <w:b/>
        </w:rPr>
        <w:t>non-contiguous</w:t>
      </w:r>
      <w:r w:rsidR="00DD4F9B">
        <w:rPr>
          <w:b/>
        </w:rPr>
        <w:t>”</w:t>
      </w:r>
      <w:r w:rsidR="00DD4F9B" w:rsidRPr="00DD4F9B">
        <w:rPr>
          <w:b/>
        </w:rPr>
        <w:t xml:space="preserve"> </w:t>
      </w:r>
      <w:r w:rsidR="00DD4F9B">
        <w:rPr>
          <w:b/>
        </w:rPr>
        <w:t>indicated</w:t>
      </w:r>
      <w:r w:rsidR="00DD4F9B" w:rsidRPr="00D8085D">
        <w:rPr>
          <w:b/>
        </w:rPr>
        <w:t xml:space="preserve"> </w:t>
      </w:r>
      <w:r w:rsidR="00DD4F9B">
        <w:rPr>
          <w:b/>
        </w:rPr>
        <w:t>in the existing</w:t>
      </w:r>
      <w:r w:rsidRPr="00D8085D">
        <w:rPr>
          <w:b/>
        </w:rPr>
        <w:t xml:space="preserve"> capability </w:t>
      </w:r>
      <w:r>
        <w:rPr>
          <w:b/>
        </w:rPr>
        <w:t>in the BC</w:t>
      </w:r>
      <w:r w:rsidRPr="00D8085D">
        <w:rPr>
          <w:b/>
        </w:rPr>
        <w:t>.</w:t>
      </w:r>
      <w:r>
        <w:rPr>
          <w:rFonts w:hint="eastAsia"/>
          <w:b/>
        </w:rPr>
        <w:t xml:space="preserve"> </w:t>
      </w:r>
      <w:r w:rsidRPr="00D8085D">
        <w:rPr>
          <w:b/>
        </w:rPr>
        <w:t xml:space="preserve">The UE indicating support of the new capability shall indicate support of “non-contiguous” in at least one among </w:t>
      </w:r>
      <w:r w:rsidRPr="00D8085D">
        <w:rPr>
          <w:b/>
          <w:i/>
        </w:rPr>
        <w:t>intrabandENDC-Support/intrabandENDC-SupportUL/intrabandENDC-Support-DL-v1790/</w:t>
      </w:r>
      <w:r w:rsidRPr="00D8085D">
        <w:rPr>
          <w:b/>
        </w:rPr>
        <w:t xml:space="preserve"> </w:t>
      </w:r>
      <w:r w:rsidRPr="00D8085D">
        <w:rPr>
          <w:b/>
          <w:i/>
        </w:rPr>
        <w:t>intrabandENDC-Support-UL-v1790</w:t>
      </w:r>
      <w:r w:rsidRPr="00D8085D">
        <w:rPr>
          <w:b/>
        </w:rPr>
        <w:t>.</w:t>
      </w:r>
    </w:p>
    <w:p w14:paraId="4E708FD3" w14:textId="788E49F7" w:rsidR="007A7ADE" w:rsidRPr="00D8085D" w:rsidRDefault="007A7ADE" w:rsidP="007A7ADE">
      <w:pPr>
        <w:rPr>
          <w:b/>
        </w:rPr>
      </w:pPr>
      <w:r>
        <w:rPr>
          <w:rFonts w:hint="eastAsia"/>
          <w:b/>
        </w:rPr>
        <w:t>P</w:t>
      </w:r>
      <w:r>
        <w:rPr>
          <w:b/>
        </w:rPr>
        <w:t>roposal 3: Agree the CRs in [3][4].</w:t>
      </w:r>
    </w:p>
    <w:p w14:paraId="60F422F8" w14:textId="4C7A5ADA" w:rsidR="00555CD2" w:rsidRDefault="00555CD2" w:rsidP="0046531D">
      <w:pPr>
        <w:pStyle w:val="1"/>
        <w:ind w:left="0" w:firstLine="0"/>
        <w:jc w:val="both"/>
      </w:pPr>
      <w:r>
        <w:t>4. Reference</w:t>
      </w:r>
    </w:p>
    <w:p w14:paraId="5F3D7A0A" w14:textId="472BB05C" w:rsidR="00D8085D" w:rsidRDefault="00996EC9" w:rsidP="00D8085D">
      <w:pPr>
        <w:jc w:val="both"/>
      </w:pPr>
      <w:r>
        <w:t>[1]</w:t>
      </w:r>
      <w:r w:rsidR="00555CD2">
        <w:t xml:space="preserve"> </w:t>
      </w:r>
      <w:r w:rsidRPr="00996EC9">
        <w:t>R4-</w:t>
      </w:r>
      <w:r w:rsidR="00D8085D" w:rsidRPr="00D8085D">
        <w:t>2410693</w:t>
      </w:r>
      <w:r w:rsidR="00D8085D">
        <w:t xml:space="preserve">, </w:t>
      </w:r>
      <w:r w:rsidR="00D8085D" w:rsidRPr="00D8085D">
        <w:t>LS on intra-band EN-DC channel spacing</w:t>
      </w:r>
      <w:r w:rsidR="00D8085D">
        <w:t>.</w:t>
      </w:r>
    </w:p>
    <w:p w14:paraId="7219911F" w14:textId="72DA0B8F" w:rsidR="007A7ADE" w:rsidRDefault="007A7ADE" w:rsidP="00D8085D">
      <w:pPr>
        <w:jc w:val="both"/>
      </w:pPr>
      <w:r>
        <w:rPr>
          <w:rFonts w:hint="eastAsia"/>
        </w:rPr>
        <w:t>[</w:t>
      </w:r>
      <w:r>
        <w:t xml:space="preserve">2] R4-2414423, </w:t>
      </w:r>
      <w:r w:rsidRPr="00076CD1">
        <w:t>R1</w:t>
      </w:r>
      <w:r>
        <w:t>8</w:t>
      </w:r>
      <w:r w:rsidRPr="00076CD1">
        <w:t xml:space="preserve"> Cat-</w:t>
      </w:r>
      <w:r>
        <w:t>F</w:t>
      </w:r>
      <w:r w:rsidRPr="00076CD1">
        <w:t xml:space="preserve"> CR 38.101-</w:t>
      </w:r>
      <w:r>
        <w:t>3</w:t>
      </w:r>
      <w:r w:rsidRPr="00076CD1">
        <w:t xml:space="preserve"> </w:t>
      </w:r>
      <w:r>
        <w:t>channel spacing for intra-band EN-DC[</w:t>
      </w:r>
      <w:r>
        <w:rPr>
          <w:rFonts w:cs="Arial"/>
        </w:rPr>
        <w:t>Intra-Band_EN-DC_Channel</w:t>
      </w:r>
      <w:r>
        <w:rPr>
          <w:rFonts w:cs="Arial" w:hint="eastAsia"/>
        </w:rPr>
        <w:t>spacing</w:t>
      </w:r>
      <w:r>
        <w:t>]</w:t>
      </w:r>
    </w:p>
    <w:p w14:paraId="31FA72EC" w14:textId="6A2E1FE8" w:rsidR="007A7ADE" w:rsidRDefault="007A7ADE" w:rsidP="00D8085D">
      <w:pPr>
        <w:jc w:val="both"/>
      </w:pPr>
      <w:r>
        <w:rPr>
          <w:rFonts w:hint="eastAsia"/>
        </w:rPr>
        <w:t>[</w:t>
      </w:r>
      <w:r>
        <w:t>3] R2-240</w:t>
      </w:r>
      <w:r w:rsidR="00D63BCF">
        <w:t>8474</w:t>
      </w:r>
      <w:r>
        <w:t xml:space="preserve">, </w:t>
      </w:r>
      <w:r w:rsidRPr="007A7ADE">
        <w:t>Introduction of new capability for intra-band EN-DC channel spacing</w:t>
      </w:r>
      <w:r>
        <w:t xml:space="preserve"> (38.331)</w:t>
      </w:r>
    </w:p>
    <w:p w14:paraId="71F54A86" w14:textId="56C7D4E0" w:rsidR="00D67055" w:rsidRPr="00A04E47" w:rsidRDefault="007A7ADE" w:rsidP="00555CD2">
      <w:pPr>
        <w:jc w:val="both"/>
      </w:pPr>
      <w:r>
        <w:rPr>
          <w:rFonts w:hint="eastAsia"/>
        </w:rPr>
        <w:t>[</w:t>
      </w:r>
      <w:r>
        <w:t>4] R2-240</w:t>
      </w:r>
      <w:r w:rsidR="00D63BCF">
        <w:t>8475</w:t>
      </w:r>
      <w:r>
        <w:t xml:space="preserve">, </w:t>
      </w:r>
      <w:r w:rsidRPr="007A7ADE">
        <w:t>Introduction of new capability for intra-band EN-DC channel spacing</w:t>
      </w:r>
      <w:r>
        <w:t xml:space="preserve"> (38.306)</w:t>
      </w:r>
    </w:p>
    <w:sectPr w:rsidR="00D67055" w:rsidRPr="00A04E47" w:rsidSect="005338DD">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C5353" w14:textId="77777777" w:rsidR="00803FE6" w:rsidRDefault="00803FE6">
      <w:r>
        <w:separator/>
      </w:r>
    </w:p>
  </w:endnote>
  <w:endnote w:type="continuationSeparator" w:id="0">
    <w:p w14:paraId="5214C17B" w14:textId="77777777" w:rsidR="00803FE6" w:rsidRDefault="0080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default"/>
    <w:sig w:usb0="00000000"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5B970" w14:textId="77777777" w:rsidR="00803FE6" w:rsidRDefault="00803FE6">
      <w:r>
        <w:separator/>
      </w:r>
    </w:p>
  </w:footnote>
  <w:footnote w:type="continuationSeparator" w:id="0">
    <w:p w14:paraId="64EA9FE6" w14:textId="77777777" w:rsidR="00803FE6" w:rsidRDefault="00803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4pt;height:10.4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CC51DB"/>
    <w:multiLevelType w:val="hybridMultilevel"/>
    <w:tmpl w:val="4FF86458"/>
    <w:lvl w:ilvl="0" w:tplc="54E8C5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8C1F73"/>
    <w:multiLevelType w:val="multilevel"/>
    <w:tmpl w:val="7D1621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8D46857"/>
    <w:multiLevelType w:val="hybridMultilevel"/>
    <w:tmpl w:val="604467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E3A78F4"/>
    <w:multiLevelType w:val="hybridMultilevel"/>
    <w:tmpl w:val="5A5A9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6"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495DD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7"/>
  </w:num>
  <w:num w:numId="2">
    <w:abstractNumId w:val="2"/>
  </w:num>
  <w:num w:numId="3">
    <w:abstractNumId w:val="11"/>
  </w:num>
  <w:num w:numId="4">
    <w:abstractNumId w:val="35"/>
  </w:num>
  <w:num w:numId="5">
    <w:abstractNumId w:val="35"/>
    <w:lvlOverride w:ilvl="0">
      <w:startOverride w:val="1"/>
    </w:lvlOverride>
  </w:num>
  <w:num w:numId="6">
    <w:abstractNumId w:val="35"/>
    <w:lvlOverride w:ilvl="0">
      <w:startOverride w:val="1"/>
    </w:lvlOverride>
  </w:num>
  <w:num w:numId="7">
    <w:abstractNumId w:val="9"/>
  </w:num>
  <w:num w:numId="8">
    <w:abstractNumId w:val="36"/>
  </w:num>
  <w:num w:numId="9">
    <w:abstractNumId w:val="24"/>
  </w:num>
  <w:num w:numId="10">
    <w:abstractNumId w:val="31"/>
  </w:num>
  <w:num w:numId="11">
    <w:abstractNumId w:val="35"/>
  </w:num>
  <w:num w:numId="12">
    <w:abstractNumId w:val="28"/>
  </w:num>
  <w:num w:numId="13">
    <w:abstractNumId w:val="3"/>
  </w:num>
  <w:num w:numId="14">
    <w:abstractNumId w:val="40"/>
  </w:num>
  <w:num w:numId="15">
    <w:abstractNumId w:val="19"/>
  </w:num>
  <w:num w:numId="16">
    <w:abstractNumId w:val="10"/>
  </w:num>
  <w:num w:numId="17">
    <w:abstractNumId w:val="35"/>
  </w:num>
  <w:num w:numId="18">
    <w:abstractNumId w:val="23"/>
  </w:num>
  <w:num w:numId="19">
    <w:abstractNumId w:val="32"/>
  </w:num>
  <w:num w:numId="20">
    <w:abstractNumId w:val="37"/>
  </w:num>
  <w:num w:numId="21">
    <w:abstractNumId w:val="37"/>
  </w:num>
  <w:num w:numId="22">
    <w:abstractNumId w:val="35"/>
  </w:num>
  <w:num w:numId="23">
    <w:abstractNumId w:val="7"/>
  </w:num>
  <w:num w:numId="24">
    <w:abstractNumId w:val="15"/>
  </w:num>
  <w:num w:numId="25">
    <w:abstractNumId w:val="26"/>
  </w:num>
  <w:num w:numId="26">
    <w:abstractNumId w:val="1"/>
  </w:num>
  <w:num w:numId="27">
    <w:abstractNumId w:val="16"/>
  </w:num>
  <w:num w:numId="28">
    <w:abstractNumId w:val="27"/>
  </w:num>
  <w:num w:numId="29">
    <w:abstractNumId w:val="39"/>
  </w:num>
  <w:num w:numId="30">
    <w:abstractNumId w:val="38"/>
  </w:num>
  <w:num w:numId="31">
    <w:abstractNumId w:val="8"/>
  </w:num>
  <w:num w:numId="32">
    <w:abstractNumId w:val="17"/>
  </w:num>
  <w:num w:numId="33">
    <w:abstractNumId w:val="20"/>
  </w:num>
  <w:num w:numId="34">
    <w:abstractNumId w:val="21"/>
  </w:num>
  <w:num w:numId="35">
    <w:abstractNumId w:val="37"/>
  </w:num>
  <w:num w:numId="36">
    <w:abstractNumId w:val="34"/>
  </w:num>
  <w:num w:numId="37">
    <w:abstractNumId w:val="13"/>
  </w:num>
  <w:num w:numId="38">
    <w:abstractNumId w:val="0"/>
  </w:num>
  <w:num w:numId="39">
    <w:abstractNumId w:val="6"/>
  </w:num>
  <w:num w:numId="40">
    <w:abstractNumId w:val="4"/>
  </w:num>
  <w:num w:numId="41">
    <w:abstractNumId w:val="5"/>
  </w:num>
  <w:num w:numId="42">
    <w:abstractNumId w:val="12"/>
  </w:num>
  <w:num w:numId="43">
    <w:abstractNumId w:val="18"/>
  </w:num>
  <w:num w:numId="44">
    <w:abstractNumId w:val="14"/>
  </w:num>
  <w:num w:numId="45">
    <w:abstractNumId w:val="25"/>
  </w:num>
  <w:num w:numId="46">
    <w:abstractNumId w:val="33"/>
  </w:num>
  <w:num w:numId="47">
    <w:abstractNumId w:val="22"/>
  </w:num>
  <w:num w:numId="48">
    <w:abstractNumId w:val="41"/>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0F9E"/>
    <w:rsid w:val="00001157"/>
    <w:rsid w:val="00001BF5"/>
    <w:rsid w:val="00001CCE"/>
    <w:rsid w:val="000021A7"/>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399D"/>
    <w:rsid w:val="000147D8"/>
    <w:rsid w:val="000150D5"/>
    <w:rsid w:val="000153C3"/>
    <w:rsid w:val="00015475"/>
    <w:rsid w:val="0001602B"/>
    <w:rsid w:val="00016151"/>
    <w:rsid w:val="000169B7"/>
    <w:rsid w:val="000169D2"/>
    <w:rsid w:val="0001722C"/>
    <w:rsid w:val="00017669"/>
    <w:rsid w:val="00017AD2"/>
    <w:rsid w:val="00017FE4"/>
    <w:rsid w:val="00020157"/>
    <w:rsid w:val="00020672"/>
    <w:rsid w:val="0002079A"/>
    <w:rsid w:val="000207CA"/>
    <w:rsid w:val="00020C9B"/>
    <w:rsid w:val="00021F34"/>
    <w:rsid w:val="00022151"/>
    <w:rsid w:val="00022DF2"/>
    <w:rsid w:val="00022E4A"/>
    <w:rsid w:val="0002368C"/>
    <w:rsid w:val="00023B68"/>
    <w:rsid w:val="00024326"/>
    <w:rsid w:val="00024434"/>
    <w:rsid w:val="00025294"/>
    <w:rsid w:val="00025570"/>
    <w:rsid w:val="00025C3C"/>
    <w:rsid w:val="0002666B"/>
    <w:rsid w:val="00026B8D"/>
    <w:rsid w:val="00026DBA"/>
    <w:rsid w:val="00027384"/>
    <w:rsid w:val="00027B28"/>
    <w:rsid w:val="00030117"/>
    <w:rsid w:val="00030B2D"/>
    <w:rsid w:val="00032A21"/>
    <w:rsid w:val="00032BB2"/>
    <w:rsid w:val="00032D1A"/>
    <w:rsid w:val="00034FE4"/>
    <w:rsid w:val="000354CC"/>
    <w:rsid w:val="000358F6"/>
    <w:rsid w:val="00035F87"/>
    <w:rsid w:val="0003634A"/>
    <w:rsid w:val="0003636E"/>
    <w:rsid w:val="000367FC"/>
    <w:rsid w:val="0003693A"/>
    <w:rsid w:val="00036D80"/>
    <w:rsid w:val="0003775C"/>
    <w:rsid w:val="00037A10"/>
    <w:rsid w:val="00037BF2"/>
    <w:rsid w:val="000401DB"/>
    <w:rsid w:val="000402ED"/>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7E8"/>
    <w:rsid w:val="0008787D"/>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50"/>
    <w:rsid w:val="000D33DB"/>
    <w:rsid w:val="000D375B"/>
    <w:rsid w:val="000D3EA0"/>
    <w:rsid w:val="000D5767"/>
    <w:rsid w:val="000D6613"/>
    <w:rsid w:val="000D67ED"/>
    <w:rsid w:val="000D6839"/>
    <w:rsid w:val="000D6B43"/>
    <w:rsid w:val="000D7F90"/>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FAC"/>
    <w:rsid w:val="00123111"/>
    <w:rsid w:val="00124174"/>
    <w:rsid w:val="00124229"/>
    <w:rsid w:val="00124E21"/>
    <w:rsid w:val="001252AB"/>
    <w:rsid w:val="00125477"/>
    <w:rsid w:val="001255E3"/>
    <w:rsid w:val="00125EBA"/>
    <w:rsid w:val="00126B78"/>
    <w:rsid w:val="0012728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3A"/>
    <w:rsid w:val="001471FF"/>
    <w:rsid w:val="001475A0"/>
    <w:rsid w:val="00147B71"/>
    <w:rsid w:val="0015036E"/>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88E"/>
    <w:rsid w:val="001B2A55"/>
    <w:rsid w:val="001B2D04"/>
    <w:rsid w:val="001B2EFA"/>
    <w:rsid w:val="001B38C2"/>
    <w:rsid w:val="001B4002"/>
    <w:rsid w:val="001B4222"/>
    <w:rsid w:val="001B469F"/>
    <w:rsid w:val="001B4999"/>
    <w:rsid w:val="001B4DD7"/>
    <w:rsid w:val="001B4DDB"/>
    <w:rsid w:val="001B5A10"/>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58E"/>
    <w:rsid w:val="002577A5"/>
    <w:rsid w:val="002579D4"/>
    <w:rsid w:val="0026004D"/>
    <w:rsid w:val="0026010C"/>
    <w:rsid w:val="002603A1"/>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215"/>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A86"/>
    <w:rsid w:val="002E0C86"/>
    <w:rsid w:val="002E18AB"/>
    <w:rsid w:val="002E35DE"/>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21C0"/>
    <w:rsid w:val="002F3784"/>
    <w:rsid w:val="002F3DD8"/>
    <w:rsid w:val="002F428A"/>
    <w:rsid w:val="002F44FF"/>
    <w:rsid w:val="002F4C23"/>
    <w:rsid w:val="002F59FF"/>
    <w:rsid w:val="002F5DF0"/>
    <w:rsid w:val="002F68DF"/>
    <w:rsid w:val="002F701C"/>
    <w:rsid w:val="002F7792"/>
    <w:rsid w:val="002F7839"/>
    <w:rsid w:val="002F7E27"/>
    <w:rsid w:val="003000B7"/>
    <w:rsid w:val="00300643"/>
    <w:rsid w:val="0030199C"/>
    <w:rsid w:val="00301AF0"/>
    <w:rsid w:val="00301CC1"/>
    <w:rsid w:val="00301FEA"/>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3C5A"/>
    <w:rsid w:val="00334097"/>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572"/>
    <w:rsid w:val="00345B6D"/>
    <w:rsid w:val="003463B7"/>
    <w:rsid w:val="0034658B"/>
    <w:rsid w:val="003465DB"/>
    <w:rsid w:val="00346F41"/>
    <w:rsid w:val="0035097A"/>
    <w:rsid w:val="00351BCF"/>
    <w:rsid w:val="00351ECB"/>
    <w:rsid w:val="00352040"/>
    <w:rsid w:val="00352943"/>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A078C"/>
    <w:rsid w:val="003A0E18"/>
    <w:rsid w:val="003A1161"/>
    <w:rsid w:val="003A133E"/>
    <w:rsid w:val="003A1D8C"/>
    <w:rsid w:val="003A1D90"/>
    <w:rsid w:val="003A24CC"/>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8A9"/>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13C"/>
    <w:rsid w:val="00405C2A"/>
    <w:rsid w:val="00406251"/>
    <w:rsid w:val="0040642E"/>
    <w:rsid w:val="00406789"/>
    <w:rsid w:val="00406CD9"/>
    <w:rsid w:val="00406E45"/>
    <w:rsid w:val="00407462"/>
    <w:rsid w:val="004101DA"/>
    <w:rsid w:val="0041066C"/>
    <w:rsid w:val="00410951"/>
    <w:rsid w:val="004109EA"/>
    <w:rsid w:val="00410FB8"/>
    <w:rsid w:val="0041107A"/>
    <w:rsid w:val="00411CD9"/>
    <w:rsid w:val="004121EE"/>
    <w:rsid w:val="0041227C"/>
    <w:rsid w:val="004122DB"/>
    <w:rsid w:val="00412438"/>
    <w:rsid w:val="0041269C"/>
    <w:rsid w:val="00412F4B"/>
    <w:rsid w:val="00413022"/>
    <w:rsid w:val="0041400C"/>
    <w:rsid w:val="004149F4"/>
    <w:rsid w:val="00414ECE"/>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31B"/>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2A3"/>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2DCD"/>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1E1"/>
    <w:rsid w:val="004D7395"/>
    <w:rsid w:val="004D7439"/>
    <w:rsid w:val="004D766D"/>
    <w:rsid w:val="004D7844"/>
    <w:rsid w:val="004E008C"/>
    <w:rsid w:val="004E032B"/>
    <w:rsid w:val="004E0477"/>
    <w:rsid w:val="004E0E75"/>
    <w:rsid w:val="004E0F55"/>
    <w:rsid w:val="004E106D"/>
    <w:rsid w:val="004E1688"/>
    <w:rsid w:val="004E1E52"/>
    <w:rsid w:val="004E25A3"/>
    <w:rsid w:val="004E2631"/>
    <w:rsid w:val="004E34D4"/>
    <w:rsid w:val="004E3647"/>
    <w:rsid w:val="004E37D9"/>
    <w:rsid w:val="004E4170"/>
    <w:rsid w:val="004E49C6"/>
    <w:rsid w:val="004E4BF8"/>
    <w:rsid w:val="004E52F6"/>
    <w:rsid w:val="004E63F2"/>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38DD"/>
    <w:rsid w:val="00534058"/>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D4"/>
    <w:rsid w:val="00565367"/>
    <w:rsid w:val="005666A1"/>
    <w:rsid w:val="00567C76"/>
    <w:rsid w:val="00570DB7"/>
    <w:rsid w:val="00570E76"/>
    <w:rsid w:val="00570F75"/>
    <w:rsid w:val="00571D59"/>
    <w:rsid w:val="0057205B"/>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0F36"/>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1AA8"/>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5A73"/>
    <w:rsid w:val="006160F2"/>
    <w:rsid w:val="00616F95"/>
    <w:rsid w:val="00617818"/>
    <w:rsid w:val="00617EDA"/>
    <w:rsid w:val="00617F25"/>
    <w:rsid w:val="0062026E"/>
    <w:rsid w:val="0062079E"/>
    <w:rsid w:val="00620CF5"/>
    <w:rsid w:val="00621188"/>
    <w:rsid w:val="00621B23"/>
    <w:rsid w:val="006226A6"/>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242"/>
    <w:rsid w:val="00644E2E"/>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05D"/>
    <w:rsid w:val="0065793C"/>
    <w:rsid w:val="00657FDE"/>
    <w:rsid w:val="006600ED"/>
    <w:rsid w:val="0066109E"/>
    <w:rsid w:val="006615BA"/>
    <w:rsid w:val="00661855"/>
    <w:rsid w:val="006622D0"/>
    <w:rsid w:val="00662393"/>
    <w:rsid w:val="0066274F"/>
    <w:rsid w:val="00662E18"/>
    <w:rsid w:val="0066311D"/>
    <w:rsid w:val="0066363B"/>
    <w:rsid w:val="00663872"/>
    <w:rsid w:val="00663BF3"/>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363"/>
    <w:rsid w:val="006D48C7"/>
    <w:rsid w:val="006D4B82"/>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6C3"/>
    <w:rsid w:val="006E5B92"/>
    <w:rsid w:val="006E6B48"/>
    <w:rsid w:val="006E724F"/>
    <w:rsid w:val="006E7476"/>
    <w:rsid w:val="006E7D32"/>
    <w:rsid w:val="006F0449"/>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6DD"/>
    <w:rsid w:val="007149FF"/>
    <w:rsid w:val="00716936"/>
    <w:rsid w:val="00716A64"/>
    <w:rsid w:val="007170B4"/>
    <w:rsid w:val="00717D1F"/>
    <w:rsid w:val="007200DB"/>
    <w:rsid w:val="0072042B"/>
    <w:rsid w:val="00720719"/>
    <w:rsid w:val="007213CF"/>
    <w:rsid w:val="00721432"/>
    <w:rsid w:val="00721EAE"/>
    <w:rsid w:val="007221F8"/>
    <w:rsid w:val="007223CB"/>
    <w:rsid w:val="007227DC"/>
    <w:rsid w:val="00722A47"/>
    <w:rsid w:val="00722C0D"/>
    <w:rsid w:val="00723245"/>
    <w:rsid w:val="00723B36"/>
    <w:rsid w:val="00723EB2"/>
    <w:rsid w:val="0072404B"/>
    <w:rsid w:val="007240AD"/>
    <w:rsid w:val="0072430C"/>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452C"/>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2D8"/>
    <w:rsid w:val="0076450A"/>
    <w:rsid w:val="00764A52"/>
    <w:rsid w:val="00764F0A"/>
    <w:rsid w:val="00765481"/>
    <w:rsid w:val="007659FF"/>
    <w:rsid w:val="007667A6"/>
    <w:rsid w:val="0076691A"/>
    <w:rsid w:val="00766F60"/>
    <w:rsid w:val="00767F14"/>
    <w:rsid w:val="007703AB"/>
    <w:rsid w:val="0077045D"/>
    <w:rsid w:val="00770462"/>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77FBB"/>
    <w:rsid w:val="00780BEB"/>
    <w:rsid w:val="00780D0A"/>
    <w:rsid w:val="00780F0C"/>
    <w:rsid w:val="00781BD1"/>
    <w:rsid w:val="00781E94"/>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733"/>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0E1B"/>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ADE"/>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4B99"/>
    <w:rsid w:val="007C5530"/>
    <w:rsid w:val="007C5AC6"/>
    <w:rsid w:val="007C5E93"/>
    <w:rsid w:val="007C6701"/>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B00"/>
    <w:rsid w:val="00801F64"/>
    <w:rsid w:val="00802350"/>
    <w:rsid w:val="00802540"/>
    <w:rsid w:val="00802B76"/>
    <w:rsid w:val="008030F0"/>
    <w:rsid w:val="00803FE6"/>
    <w:rsid w:val="0080401D"/>
    <w:rsid w:val="0080492C"/>
    <w:rsid w:val="008057AE"/>
    <w:rsid w:val="00805AC4"/>
    <w:rsid w:val="00805B63"/>
    <w:rsid w:val="00806457"/>
    <w:rsid w:val="00806F34"/>
    <w:rsid w:val="00807AB3"/>
    <w:rsid w:val="00807FE7"/>
    <w:rsid w:val="00810D5F"/>
    <w:rsid w:val="00811DC4"/>
    <w:rsid w:val="00811FC4"/>
    <w:rsid w:val="0081406F"/>
    <w:rsid w:val="008140DC"/>
    <w:rsid w:val="008141AA"/>
    <w:rsid w:val="00814237"/>
    <w:rsid w:val="00814305"/>
    <w:rsid w:val="008148D6"/>
    <w:rsid w:val="00815300"/>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8F3"/>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D88"/>
    <w:rsid w:val="00860326"/>
    <w:rsid w:val="008606F3"/>
    <w:rsid w:val="00860A08"/>
    <w:rsid w:val="00861C39"/>
    <w:rsid w:val="00861E79"/>
    <w:rsid w:val="0086223C"/>
    <w:rsid w:val="008624F5"/>
    <w:rsid w:val="008625E5"/>
    <w:rsid w:val="008626E7"/>
    <w:rsid w:val="00863532"/>
    <w:rsid w:val="00863867"/>
    <w:rsid w:val="00863A23"/>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96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AD6"/>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6EC9"/>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2D2"/>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2A4"/>
    <w:rsid w:val="009E386A"/>
    <w:rsid w:val="009E3CA3"/>
    <w:rsid w:val="009E40F6"/>
    <w:rsid w:val="009E45EB"/>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4E47"/>
    <w:rsid w:val="00A05274"/>
    <w:rsid w:val="00A06C3C"/>
    <w:rsid w:val="00A07A17"/>
    <w:rsid w:val="00A1074C"/>
    <w:rsid w:val="00A10790"/>
    <w:rsid w:val="00A10EBC"/>
    <w:rsid w:val="00A11A4F"/>
    <w:rsid w:val="00A128ED"/>
    <w:rsid w:val="00A1290C"/>
    <w:rsid w:val="00A12CC0"/>
    <w:rsid w:val="00A12E72"/>
    <w:rsid w:val="00A13C82"/>
    <w:rsid w:val="00A13EC0"/>
    <w:rsid w:val="00A14972"/>
    <w:rsid w:val="00A15261"/>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E13"/>
    <w:rsid w:val="00A25FDF"/>
    <w:rsid w:val="00A26861"/>
    <w:rsid w:val="00A273CC"/>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8D7"/>
    <w:rsid w:val="00A37A66"/>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739"/>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5A3"/>
    <w:rsid w:val="00A67150"/>
    <w:rsid w:val="00A67233"/>
    <w:rsid w:val="00A7090C"/>
    <w:rsid w:val="00A70E4E"/>
    <w:rsid w:val="00A7113E"/>
    <w:rsid w:val="00A714E2"/>
    <w:rsid w:val="00A71C75"/>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1E5"/>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52F"/>
    <w:rsid w:val="00AC5630"/>
    <w:rsid w:val="00AC592F"/>
    <w:rsid w:val="00AC7839"/>
    <w:rsid w:val="00AC7CF6"/>
    <w:rsid w:val="00AD00D1"/>
    <w:rsid w:val="00AD0475"/>
    <w:rsid w:val="00AD066D"/>
    <w:rsid w:val="00AD0B14"/>
    <w:rsid w:val="00AD17A6"/>
    <w:rsid w:val="00AD1C4B"/>
    <w:rsid w:val="00AD1CD8"/>
    <w:rsid w:val="00AD2535"/>
    <w:rsid w:val="00AD34B9"/>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CA"/>
    <w:rsid w:val="00AE29B5"/>
    <w:rsid w:val="00AE2F8C"/>
    <w:rsid w:val="00AE37AB"/>
    <w:rsid w:val="00AE3D16"/>
    <w:rsid w:val="00AE40D0"/>
    <w:rsid w:val="00AE47EB"/>
    <w:rsid w:val="00AE5754"/>
    <w:rsid w:val="00AE5954"/>
    <w:rsid w:val="00AE6808"/>
    <w:rsid w:val="00AE749F"/>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5D5"/>
    <w:rsid w:val="00B1760D"/>
    <w:rsid w:val="00B205F1"/>
    <w:rsid w:val="00B20A57"/>
    <w:rsid w:val="00B20B1A"/>
    <w:rsid w:val="00B20FE6"/>
    <w:rsid w:val="00B215CD"/>
    <w:rsid w:val="00B2169B"/>
    <w:rsid w:val="00B21B0A"/>
    <w:rsid w:val="00B232AE"/>
    <w:rsid w:val="00B2370C"/>
    <w:rsid w:val="00B23CDF"/>
    <w:rsid w:val="00B24668"/>
    <w:rsid w:val="00B25081"/>
    <w:rsid w:val="00B258BB"/>
    <w:rsid w:val="00B2592F"/>
    <w:rsid w:val="00B26E9E"/>
    <w:rsid w:val="00B2724E"/>
    <w:rsid w:val="00B2732E"/>
    <w:rsid w:val="00B27FB9"/>
    <w:rsid w:val="00B30297"/>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3518"/>
    <w:rsid w:val="00B53B8C"/>
    <w:rsid w:val="00B54383"/>
    <w:rsid w:val="00B543FA"/>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232"/>
    <w:rsid w:val="00BA5A1B"/>
    <w:rsid w:val="00BA5B9A"/>
    <w:rsid w:val="00BA5BCA"/>
    <w:rsid w:val="00BA64B7"/>
    <w:rsid w:val="00BA6AC8"/>
    <w:rsid w:val="00BA7DBA"/>
    <w:rsid w:val="00BA7E32"/>
    <w:rsid w:val="00BA7FF0"/>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55E"/>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6C5D"/>
    <w:rsid w:val="00C46E47"/>
    <w:rsid w:val="00C47460"/>
    <w:rsid w:val="00C47AA8"/>
    <w:rsid w:val="00C50073"/>
    <w:rsid w:val="00C502E6"/>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29F4"/>
    <w:rsid w:val="00CB2BE9"/>
    <w:rsid w:val="00CB304B"/>
    <w:rsid w:val="00CB31CA"/>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221"/>
    <w:rsid w:val="00CD1BD4"/>
    <w:rsid w:val="00CD22F8"/>
    <w:rsid w:val="00CD260F"/>
    <w:rsid w:val="00CD2792"/>
    <w:rsid w:val="00CD3833"/>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37458"/>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3996"/>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3BCF"/>
    <w:rsid w:val="00D642A6"/>
    <w:rsid w:val="00D65FF0"/>
    <w:rsid w:val="00D6617A"/>
    <w:rsid w:val="00D66CA0"/>
    <w:rsid w:val="00D67055"/>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85D"/>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435E"/>
    <w:rsid w:val="00DB4E3C"/>
    <w:rsid w:val="00DB4E58"/>
    <w:rsid w:val="00DB5456"/>
    <w:rsid w:val="00DB5554"/>
    <w:rsid w:val="00DB5B6C"/>
    <w:rsid w:val="00DB5E2C"/>
    <w:rsid w:val="00DB5E80"/>
    <w:rsid w:val="00DB6BF3"/>
    <w:rsid w:val="00DB70BF"/>
    <w:rsid w:val="00DC020E"/>
    <w:rsid w:val="00DC0EF1"/>
    <w:rsid w:val="00DC1F59"/>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4F9B"/>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0ABB"/>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E53"/>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1AE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16DC8"/>
    <w:rsid w:val="00E20926"/>
    <w:rsid w:val="00E20A29"/>
    <w:rsid w:val="00E21637"/>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1D0"/>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830"/>
    <w:rsid w:val="00E95F3D"/>
    <w:rsid w:val="00E969E2"/>
    <w:rsid w:val="00EA022C"/>
    <w:rsid w:val="00EA02FA"/>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B0100"/>
    <w:rsid w:val="00EB07B4"/>
    <w:rsid w:val="00EB1386"/>
    <w:rsid w:val="00EB187B"/>
    <w:rsid w:val="00EB2E70"/>
    <w:rsid w:val="00EB33BC"/>
    <w:rsid w:val="00EB4222"/>
    <w:rsid w:val="00EB44CC"/>
    <w:rsid w:val="00EB4D42"/>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C4D"/>
    <w:rsid w:val="00EC5EEA"/>
    <w:rsid w:val="00EC6D71"/>
    <w:rsid w:val="00ED099F"/>
    <w:rsid w:val="00ED0CC0"/>
    <w:rsid w:val="00ED162C"/>
    <w:rsid w:val="00ED1B1A"/>
    <w:rsid w:val="00ED272C"/>
    <w:rsid w:val="00ED29C6"/>
    <w:rsid w:val="00ED2D35"/>
    <w:rsid w:val="00ED2D7A"/>
    <w:rsid w:val="00ED369C"/>
    <w:rsid w:val="00ED3844"/>
    <w:rsid w:val="00ED4309"/>
    <w:rsid w:val="00ED4B2A"/>
    <w:rsid w:val="00ED4D3C"/>
    <w:rsid w:val="00ED4DA2"/>
    <w:rsid w:val="00ED7347"/>
    <w:rsid w:val="00ED7D18"/>
    <w:rsid w:val="00EE01FE"/>
    <w:rsid w:val="00EE08B7"/>
    <w:rsid w:val="00EE11D8"/>
    <w:rsid w:val="00EE29FD"/>
    <w:rsid w:val="00EE2BE4"/>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325"/>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4880"/>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154"/>
    <w:rsid w:val="00FC58E6"/>
    <w:rsid w:val="00FC5BDB"/>
    <w:rsid w:val="00FC5CB4"/>
    <w:rsid w:val="00FC5F54"/>
    <w:rsid w:val="00FC640D"/>
    <w:rsid w:val="00FC69B0"/>
    <w:rsid w:val="00FC6C3A"/>
    <w:rsid w:val="00FC70AB"/>
    <w:rsid w:val="00FC731E"/>
    <w:rsid w:val="00FC74B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71B"/>
    <w:rsid w:val="00FE1EA1"/>
    <w:rsid w:val="00FE212B"/>
    <w:rsid w:val="00FE3046"/>
    <w:rsid w:val="00FE350B"/>
    <w:rsid w:val="00FE388D"/>
    <w:rsid w:val="00FE394A"/>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CD2"/>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a"/>
    <w:next w:val="a"/>
    <w:link w:val="EmailDiscussionChar"/>
    <w:qFormat/>
    <w:rsid w:val="00232186"/>
    <w:pPr>
      <w:numPr>
        <w:numId w:val="43"/>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afe">
    <w:name w:val="Plain Text"/>
    <w:basedOn w:val="a"/>
    <w:link w:val="aff"/>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aff">
    <w:name w:val="纯文本 字符"/>
    <w:basedOn w:val="a0"/>
    <w:link w:val="afe"/>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22986154">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5770207">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02380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79768431">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1027715">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65A5B-AC4D-4064-9662-B864340C5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dc:description/>
  <cp:lastModifiedBy>shatong (A)</cp:lastModifiedBy>
  <cp:revision>8</cp:revision>
  <dcterms:created xsi:type="dcterms:W3CDTF">2024-09-30T08:05:00Z</dcterms:created>
  <dcterms:modified xsi:type="dcterms:W3CDTF">2024-10-02T09:58:00Z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(3)CHV7TBzHobnYeYJmGlcL6zWAJC0YQhEdU480ZeMUExTKN5eR3N2tPgXUG0+z50f4baUW57sC
+W7JyQB/tFdZOFQwd5dbhn+l7K1QlvkQaXgjb4dK2UZbZEptVl/br9U9Ps0Q+p2EEk+RKduF
lpWK0IHdAck8MD5O4lnYPaLhklfo+NgXfOhys4krgb89AXTGw/+xhRJ9duo5+eQdkoyKqjMV
cTXjhUbHu1/X6hQVn6</vt:lpwstr>
  </property>
  <property fmtid="{D5CDD505-2E9C-101B-9397-08002B2CF9AE}" pid="4" name="_2015_ms_pID_7253431">
    <vt:lpwstr>rnHvxzP10i2Fe4zsnLGZziryEmIPT71WXn5xpnJLtGnSDHiZmmY3DF
wgzumFsdNMOINg+9q2h2u1NOxzPg0w311315TGH3kHiWVGA3h1H4TiKRPx5CeqWzCCqgWJNI
nlQge6Dv9KEaunBpCBlEfXnBWkAQcLB07h1q1Z291/6lx8hHYIaf7m2QtT0qw5y+FNFYsTgk
EoxZSWHv2oCUU2jgvKNUdoQKINH1cte2og6V</vt:lpwstr>
  </property>
  <property fmtid="{D5CDD505-2E9C-101B-9397-08002B2CF9AE}" pid="5" name="_2015_ms_pID_7253432">
    <vt:lpwstr>EpBwwZ8CZQ1zSMtUegmPJYQ=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1727431348</vt:lpwstr>
  </property>
</Properties>
</file>